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0"/>
        </w:rPr>
        <w:t>INFORME TÉCNICO DE REVISIÓN DOCUMENTAL</w:t>
      </w:r>
    </w:p>
    <w:p>
      <w:pPr>
        <w:jc w:val="center"/>
      </w:pPr>
      <w:r>
        <w:rPr>
          <w:b/>
          <w:sz w:val="30"/>
        </w:rPr>
        <w:t>6 Planes de Actuación Integrados, PAI, Diputación de Granada</w:t>
      </w:r>
    </w:p>
    <w:p>
      <w:pPr>
        <w:jc w:val="center"/>
      </w:pPr>
      <w:r>
        <w:rPr>
          <w:sz w:val="22"/>
        </w:rPr>
        <w:t>Cumplimiento normativo, riesgos de ejecución y recomendaciones de mejora y control</w:t>
      </w:r>
    </w:p>
    <w:p>
      <w:pPr>
        <w:jc w:val="center"/>
      </w:pPr>
      <w:r>
        <w:rPr>
          <w:sz w:val="22"/>
        </w:rPr>
        <w:t>Documento de apoyo para la oferta a Antonio Díaz</w:t>
      </w:r>
    </w:p>
    <w:p>
      <w:pPr>
        <w:jc w:val="center"/>
      </w:pPr>
      <w:r>
        <w:rPr>
          <w:sz w:val="22"/>
        </w:rPr>
        <w:t>Vanguardia.Tech</w:t>
      </w:r>
    </w:p>
    <w:p>
      <w:pPr>
        <w:jc w:val="center"/>
      </w:pPr>
      <w:r>
        <w:rPr>
          <w:sz w:val="22"/>
        </w:rPr>
        <w:t>Fecha de preparación: 03/05/2026</w:t>
      </w:r>
    </w:p>
    <w:p/>
    <w:tbl>
      <w:tblPr>
        <w:tblW w:type="auto" w:w="0"/>
        <w:jc w:val="center"/>
        <w:tblLook w:firstColumn="1" w:firstRow="1" w:lastColumn="0" w:lastRow="0" w:noHBand="0" w:noVBand="1" w:val="04A0"/>
      </w:tblPr>
      <w:tblGrid>
        <w:gridCol w:w="10368"/>
      </w:tblGrid>
      <w:tr>
        <w:tc>
          <w:tcPr>
            <w:tcW w:type="dxa" w:w="10368"/>
            <w:shd w:fill="EAF2F8"/>
          </w:tcPr>
          <w:p>
            <w:pPr>
              <w:spacing w:after="0" w:before="0"/>
              <w:jc w:val="left"/>
            </w:pPr>
            <w:r>
              <w:rPr>
                <w:rFonts w:ascii="Arial" w:hAnsi="Arial"/>
              </w:rPr>
            </w:r>
            <w:r>
              <w:rPr>
                <w:rFonts w:ascii="Arial" w:hAnsi="Arial"/>
                <w:b w:val="0"/>
                <w:sz w:val="19"/>
              </w:rPr>
              <w:t>Nota de alcance: este informe revisa las memorias y anexos disponibles de los 6 PAI y los cruza con las obligaciones principales de la Orden HAC/1072/2024, el Reglamento UE 2021/1060 y la resolución definitiva de la convocatoria. No sustituye a una auditoría jurídica ni a la revisión completa del expediente administrativo, contable y contractual. Donde se indica “cumplido”, debe entenderse “cumplido documentalmente en la memoria revisada”, salvo que se indique expresamente otra cosa.</w:t>
            </w:r>
          </w:p>
        </w:tc>
      </w:tr>
    </w:tbl>
    <w:p>
      <w:r>
        <w:br w:type="page"/>
      </w:r>
    </w:p>
    <w:p>
      <w:pPr>
        <w:pStyle w:val="Heading1"/>
      </w:pPr>
      <w:r>
        <w:t>1. Resumen ejecutivo</w:t>
      </w:r>
    </w:p>
    <w:p>
      <w:r>
        <w:t>La revisión permite concluir que los 6 PAI presentan una arquitectura estratégica sólida: todos parten de una EDIL o Agenda Urbana y Rural, delimitan un Área Urbana Funcional, estructuran proyectos y actuaciones, incorporan participación y prevén fórmulas de gobernanza, asistencia técnica, comunicación y sinergias. Este punto es favorable para la confianza institucional en la capacidad de la Diputación de Granada para ejecutar la senda FEDER.</w:t>
      </w:r>
    </w:p>
    <w:p>
      <w:r>
        <w:t>El riesgo principal ya no está en la formulación estratégica, sino en la conversión de cada actuación en operación FEDER seleccionada, contratada, ejecutada, certificada y documentada antes de los hitos normativos. La fecha crítica es el 31/03/2027, cuando debe acreditarse, como mínimo, la selección de operaciones por el 70 % del gasto y la justificación del 20 % de la ayuda. La fecha de cierre de elegibilidad es el 31/12/2029 y la justificación final debe culminar el 31/03/2030.</w:t>
      </w:r>
    </w:p>
    <w:p>
      <w:r>
        <w:t>A 03/05/2026, el punto más sensible es verificar si se ha cumplido correctamente el paquete documental posterior a la resolución definitiva: Descripción de Funciones, Manual de Procedimientos, Excel de Autoevaluación del Riesgo de Fraude y aceptación del Acuerdo de Atribución de Funciones. Si esta documentación no estuviera remitida y validada, la urgencia sería crítica porque el plazo de dos meses desde la publicación en BOE ya habría vencido operativamente.</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shd w:fill="1F4E79"/>
            <w:vAlign w:val="center"/>
          </w:tcPr>
          <w:p>
            <w:pPr>
              <w:spacing w:after="0" w:before="0"/>
              <w:jc w:val="left"/>
            </w:pPr>
            <w:r>
              <w:rPr>
                <w:rFonts w:ascii="Arial" w:hAnsi="Arial"/>
              </w:rPr>
            </w:r>
            <w:r>
              <w:rPr>
                <w:rFonts w:ascii="Arial" w:hAnsi="Arial"/>
                <w:b/>
                <w:color w:val="FFFFFF"/>
                <w:sz w:val="16"/>
              </w:rPr>
              <w:t>Ámbito revisado</w:t>
            </w:r>
          </w:p>
        </w:tc>
        <w:tc>
          <w:tcPr>
            <w:tcW w:type="dxa" w:w="3744"/>
            <w:shd w:fill="1F4E79"/>
            <w:vAlign w:val="center"/>
          </w:tcPr>
          <w:p>
            <w:pPr>
              <w:spacing w:after="0" w:before="0"/>
              <w:jc w:val="left"/>
            </w:pPr>
            <w:r>
              <w:rPr>
                <w:rFonts w:ascii="Arial" w:hAnsi="Arial"/>
              </w:rPr>
            </w:r>
            <w:r>
              <w:rPr>
                <w:rFonts w:ascii="Arial" w:hAnsi="Arial"/>
                <w:b/>
                <w:color w:val="FFFFFF"/>
                <w:sz w:val="16"/>
              </w:rPr>
              <w:t>Estado según memorias</w:t>
            </w:r>
          </w:p>
        </w:tc>
        <w:tc>
          <w:tcPr>
            <w:tcW w:type="dxa" w:w="4031"/>
            <w:shd w:fill="1F4E79"/>
            <w:vAlign w:val="center"/>
          </w:tcPr>
          <w:p>
            <w:pPr>
              <w:spacing w:after="0" w:before="0"/>
              <w:jc w:val="left"/>
            </w:pPr>
            <w:r>
              <w:rPr>
                <w:rFonts w:ascii="Arial" w:hAnsi="Arial"/>
              </w:rPr>
            </w:r>
            <w:r>
              <w:rPr>
                <w:rFonts w:ascii="Arial" w:hAnsi="Arial"/>
                <w:b/>
                <w:color w:val="FFFFFF"/>
                <w:sz w:val="16"/>
              </w:rPr>
              <w:t>Riesgo principal</w:t>
            </w:r>
          </w:p>
        </w:tc>
        <w:tc>
          <w:tcPr>
            <w:tcW w:type="dxa" w:w="1584"/>
            <w:shd w:fill="1F4E79"/>
            <w:vAlign w:val="center"/>
          </w:tcPr>
          <w:p>
            <w:pPr>
              <w:spacing w:after="0" w:before="0"/>
              <w:jc w:val="left"/>
            </w:pPr>
            <w:r>
              <w:rPr>
                <w:rFonts w:ascii="Arial" w:hAnsi="Arial"/>
              </w:rPr>
            </w:r>
            <w:r>
              <w:rPr>
                <w:rFonts w:ascii="Arial" w:hAnsi="Arial"/>
                <w:b/>
                <w:color w:val="FFFFFF"/>
                <w:sz w:val="16"/>
              </w:rPr>
              <w:t>Urgencia</w:t>
            </w:r>
          </w:p>
        </w:tc>
      </w:tr>
      <w:tr>
        <w:trPr>
          <w:cantSplit/>
        </w:trPr>
        <w:tc>
          <w:tcPr>
            <w:tcW w:type="dxa" w:w="2592"/>
            <w:vAlign w:val="top"/>
          </w:tcPr>
          <w:p>
            <w:pPr>
              <w:spacing w:after="0" w:before="0"/>
              <w:jc w:val="left"/>
            </w:pPr>
            <w:r>
              <w:rPr>
                <w:rFonts w:ascii="Arial" w:hAnsi="Arial"/>
              </w:rPr>
            </w:r>
            <w:r>
              <w:rPr>
                <w:rFonts w:ascii="Arial" w:hAnsi="Arial"/>
                <w:b w:val="0"/>
                <w:sz w:val="16"/>
              </w:rPr>
              <w:t>Paquete de gestión y control OIL</w:t>
            </w:r>
          </w:p>
        </w:tc>
        <w:tc>
          <w:tcPr>
            <w:tcW w:type="dxa" w:w="3744"/>
            <w:vAlign w:val="top"/>
          </w:tcPr>
          <w:p>
            <w:pPr>
              <w:spacing w:after="0" w:before="0"/>
              <w:jc w:val="left"/>
            </w:pPr>
            <w:r>
              <w:rPr>
                <w:rFonts w:ascii="Arial" w:hAnsi="Arial"/>
              </w:rPr>
            </w:r>
            <w:r>
              <w:rPr>
                <w:rFonts w:ascii="Arial" w:hAnsi="Arial"/>
                <w:b w:val="0"/>
                <w:sz w:val="16"/>
              </w:rPr>
              <w:t>No consta en las memorias revisadas como expediente posterior a la resolución definitiva.</w:t>
            </w:r>
          </w:p>
        </w:tc>
        <w:tc>
          <w:tcPr>
            <w:tcW w:type="dxa" w:w="4031"/>
            <w:vAlign w:val="top"/>
          </w:tcPr>
          <w:p>
            <w:pPr>
              <w:spacing w:after="0" w:before="0"/>
              <w:jc w:val="left"/>
            </w:pPr>
            <w:r>
              <w:rPr>
                <w:rFonts w:ascii="Arial" w:hAnsi="Arial"/>
              </w:rPr>
            </w:r>
            <w:r>
              <w:rPr>
                <w:rFonts w:ascii="Arial" w:hAnsi="Arial"/>
                <w:b w:val="0"/>
                <w:sz w:val="16"/>
              </w:rPr>
              <w:t>Riesgo de incumplimiento formal si no se remitió en plazo.</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Selección de operaciones 70 %</w:t>
            </w:r>
          </w:p>
        </w:tc>
        <w:tc>
          <w:tcPr>
            <w:tcW w:type="dxa" w:w="3744"/>
            <w:vAlign w:val="top"/>
          </w:tcPr>
          <w:p>
            <w:pPr>
              <w:spacing w:after="0" w:before="0"/>
              <w:jc w:val="left"/>
            </w:pPr>
            <w:r>
              <w:rPr>
                <w:rFonts w:ascii="Arial" w:hAnsi="Arial"/>
              </w:rPr>
            </w:r>
            <w:r>
              <w:rPr>
                <w:rFonts w:ascii="Arial" w:hAnsi="Arial"/>
                <w:b w:val="0"/>
                <w:sz w:val="16"/>
              </w:rPr>
              <w:t>Las memorias prevén proyectos y actuaciones, pero debe verificarse selección formal de operaciones.</w:t>
            </w:r>
          </w:p>
        </w:tc>
        <w:tc>
          <w:tcPr>
            <w:tcW w:type="dxa" w:w="4031"/>
            <w:vAlign w:val="top"/>
          </w:tcPr>
          <w:p>
            <w:pPr>
              <w:spacing w:after="0" w:before="0"/>
              <w:jc w:val="left"/>
            </w:pPr>
            <w:r>
              <w:rPr>
                <w:rFonts w:ascii="Arial" w:hAnsi="Arial"/>
              </w:rPr>
            </w:r>
            <w:r>
              <w:rPr>
                <w:rFonts w:ascii="Arial" w:hAnsi="Arial"/>
                <w:b w:val="0"/>
                <w:sz w:val="16"/>
              </w:rPr>
              <w:t>Riesgo de reprogramación en 31/03/2027.</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Justificación 20 % ayuda FEDER</w:t>
            </w:r>
          </w:p>
        </w:tc>
        <w:tc>
          <w:tcPr>
            <w:tcW w:type="dxa" w:w="3744"/>
            <w:vAlign w:val="top"/>
          </w:tcPr>
          <w:p>
            <w:pPr>
              <w:spacing w:after="0" w:before="0"/>
              <w:jc w:val="left"/>
            </w:pPr>
            <w:r>
              <w:rPr>
                <w:rFonts w:ascii="Arial" w:hAnsi="Arial"/>
              </w:rPr>
            </w:r>
            <w:r>
              <w:rPr>
                <w:rFonts w:ascii="Arial" w:hAnsi="Arial"/>
                <w:b w:val="0"/>
                <w:sz w:val="16"/>
              </w:rPr>
              <w:t>Algunos PAI prevén certificación superior al 20 %, otros apenas superan el umbral.</w:t>
            </w:r>
          </w:p>
        </w:tc>
        <w:tc>
          <w:tcPr>
            <w:tcW w:type="dxa" w:w="4031"/>
            <w:vAlign w:val="top"/>
          </w:tcPr>
          <w:p>
            <w:pPr>
              <w:spacing w:after="0" w:before="0"/>
              <w:jc w:val="left"/>
            </w:pPr>
            <w:r>
              <w:rPr>
                <w:rFonts w:ascii="Arial" w:hAnsi="Arial"/>
              </w:rPr>
            </w:r>
            <w:r>
              <w:rPr>
                <w:rFonts w:ascii="Arial" w:hAnsi="Arial"/>
                <w:b w:val="0"/>
                <w:sz w:val="16"/>
              </w:rPr>
              <w:t>Margen insuficiente ante retrasos en contratación, permisos o pagos.</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Permisos sectoriales y titularidad</w:t>
            </w:r>
          </w:p>
        </w:tc>
        <w:tc>
          <w:tcPr>
            <w:tcW w:type="dxa" w:w="3744"/>
            <w:vAlign w:val="top"/>
          </w:tcPr>
          <w:p>
            <w:pPr>
              <w:spacing w:after="0" w:before="0"/>
              <w:jc w:val="left"/>
            </w:pPr>
            <w:r>
              <w:rPr>
                <w:rFonts w:ascii="Arial" w:hAnsi="Arial"/>
              </w:rPr>
            </w:r>
            <w:r>
              <w:rPr>
                <w:rFonts w:ascii="Arial" w:hAnsi="Arial"/>
                <w:b w:val="0"/>
                <w:sz w:val="16"/>
              </w:rPr>
              <w:t>Varios PAI declaran viabilidad, pero algunas actuaciones dependen de Cultura, Medio Ambiente, Fomento, ayuntamientos o acuerdos privados.</w:t>
            </w:r>
          </w:p>
        </w:tc>
        <w:tc>
          <w:tcPr>
            <w:tcW w:type="dxa" w:w="4031"/>
            <w:vAlign w:val="top"/>
          </w:tcPr>
          <w:p>
            <w:pPr>
              <w:spacing w:after="0" w:before="0"/>
              <w:jc w:val="left"/>
            </w:pPr>
            <w:r>
              <w:rPr>
                <w:rFonts w:ascii="Arial" w:hAnsi="Arial"/>
              </w:rPr>
            </w:r>
            <w:r>
              <w:rPr>
                <w:rFonts w:ascii="Arial" w:hAnsi="Arial"/>
                <w:b w:val="0"/>
                <w:sz w:val="16"/>
              </w:rPr>
              <w:t>Bloqueo de licitaciones o imposibilidad de ejecutar en plazo.</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Contratación y pliegos técnicos</w:t>
            </w:r>
          </w:p>
        </w:tc>
        <w:tc>
          <w:tcPr>
            <w:tcW w:type="dxa" w:w="3744"/>
            <w:vAlign w:val="top"/>
          </w:tcPr>
          <w:p>
            <w:pPr>
              <w:spacing w:after="0" w:before="0"/>
              <w:jc w:val="left"/>
            </w:pPr>
            <w:r>
              <w:rPr>
                <w:rFonts w:ascii="Arial" w:hAnsi="Arial"/>
              </w:rPr>
            </w:r>
            <w:r>
              <w:rPr>
                <w:rFonts w:ascii="Arial" w:hAnsi="Arial"/>
                <w:b w:val="0"/>
                <w:sz w:val="16"/>
              </w:rPr>
              <w:t>Hay actuaciones maduras, pero muchas requieren proyectos técnicos, PPT, licitación y adjudicación.</w:t>
            </w:r>
          </w:p>
        </w:tc>
        <w:tc>
          <w:tcPr>
            <w:tcW w:type="dxa" w:w="4031"/>
            <w:vAlign w:val="top"/>
          </w:tcPr>
          <w:p>
            <w:pPr>
              <w:spacing w:after="0" w:before="0"/>
              <w:jc w:val="left"/>
            </w:pPr>
            <w:r>
              <w:rPr>
                <w:rFonts w:ascii="Arial" w:hAnsi="Arial"/>
              </w:rPr>
            </w:r>
            <w:r>
              <w:rPr>
                <w:rFonts w:ascii="Arial" w:hAnsi="Arial"/>
                <w:b w:val="0"/>
                <w:sz w:val="16"/>
              </w:rPr>
              <w:t>Riesgo temporal y de elegibilidad.</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Comunicación FEDER e INFOCO</w:t>
            </w:r>
          </w:p>
        </w:tc>
        <w:tc>
          <w:tcPr>
            <w:tcW w:type="dxa" w:w="3744"/>
            <w:vAlign w:val="top"/>
          </w:tcPr>
          <w:p>
            <w:pPr>
              <w:spacing w:after="0" w:before="0"/>
              <w:jc w:val="left"/>
            </w:pPr>
            <w:r>
              <w:rPr>
                <w:rFonts w:ascii="Arial" w:hAnsi="Arial"/>
              </w:rPr>
            </w:r>
            <w:r>
              <w:rPr>
                <w:rFonts w:ascii="Arial" w:hAnsi="Arial"/>
                <w:b w:val="0"/>
                <w:sz w:val="16"/>
              </w:rPr>
              <w:t>Las memorias prevén comunicación, pero debe existir responsable, plan de evidencias y operación destacada.</w:t>
            </w:r>
          </w:p>
        </w:tc>
        <w:tc>
          <w:tcPr>
            <w:tcW w:type="dxa" w:w="4031"/>
            <w:vAlign w:val="top"/>
          </w:tcPr>
          <w:p>
            <w:pPr>
              <w:spacing w:after="0" w:before="0"/>
              <w:jc w:val="left"/>
            </w:pPr>
            <w:r>
              <w:rPr>
                <w:rFonts w:ascii="Arial" w:hAnsi="Arial"/>
              </w:rPr>
            </w:r>
            <w:r>
              <w:rPr>
                <w:rFonts w:ascii="Arial" w:hAnsi="Arial"/>
                <w:b w:val="0"/>
                <w:sz w:val="16"/>
              </w:rPr>
              <w:t>Riesgo de correcciones por falta de visibilidad y prueba documental.</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Tecnología, datos y ciberseguridad</w:t>
            </w:r>
          </w:p>
        </w:tc>
        <w:tc>
          <w:tcPr>
            <w:tcW w:type="dxa" w:w="3744"/>
            <w:vAlign w:val="top"/>
          </w:tcPr>
          <w:p>
            <w:pPr>
              <w:spacing w:after="0" w:before="0"/>
              <w:jc w:val="left"/>
            </w:pPr>
            <w:r>
              <w:rPr>
                <w:rFonts w:ascii="Arial" w:hAnsi="Arial"/>
              </w:rPr>
            </w:r>
            <w:r>
              <w:rPr>
                <w:rFonts w:ascii="Arial" w:hAnsi="Arial"/>
                <w:b w:val="0"/>
                <w:sz w:val="16"/>
              </w:rPr>
              <w:t>Smart City, sensores, wifi, hologramas, plataformas y museografía digital aparecen en varios PAI.</w:t>
            </w:r>
          </w:p>
        </w:tc>
        <w:tc>
          <w:tcPr>
            <w:tcW w:type="dxa" w:w="4031"/>
            <w:vAlign w:val="top"/>
          </w:tcPr>
          <w:p>
            <w:pPr>
              <w:spacing w:after="0" w:before="0"/>
              <w:jc w:val="left"/>
            </w:pPr>
            <w:r>
              <w:rPr>
                <w:rFonts w:ascii="Arial" w:hAnsi="Arial"/>
              </w:rPr>
            </w:r>
            <w:r>
              <w:rPr>
                <w:rFonts w:ascii="Arial" w:hAnsi="Arial"/>
                <w:b w:val="0"/>
                <w:sz w:val="16"/>
              </w:rPr>
              <w:t>Riesgo de pliegos incompletos, dependencia tecnológica y problemas de protección de datos.</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Repositorio documental y pista de auditoría</w:t>
            </w:r>
          </w:p>
        </w:tc>
        <w:tc>
          <w:tcPr>
            <w:tcW w:type="dxa" w:w="3744"/>
            <w:vAlign w:val="top"/>
          </w:tcPr>
          <w:p>
            <w:pPr>
              <w:spacing w:after="0" w:before="0"/>
              <w:jc w:val="left"/>
            </w:pPr>
            <w:r>
              <w:rPr>
                <w:rFonts w:ascii="Arial" w:hAnsi="Arial"/>
              </w:rPr>
            </w:r>
            <w:r>
              <w:rPr>
                <w:rFonts w:ascii="Arial" w:hAnsi="Arial"/>
                <w:b w:val="0"/>
                <w:sz w:val="16"/>
              </w:rPr>
              <w:t>No consta un índice documental único por PAI, municipio, actuación, contrato y gasto.</w:t>
            </w:r>
          </w:p>
        </w:tc>
        <w:tc>
          <w:tcPr>
            <w:tcW w:type="dxa" w:w="4031"/>
            <w:vAlign w:val="top"/>
          </w:tcPr>
          <w:p>
            <w:pPr>
              <w:spacing w:after="0" w:before="0"/>
              <w:jc w:val="left"/>
            </w:pPr>
            <w:r>
              <w:rPr>
                <w:rFonts w:ascii="Arial" w:hAnsi="Arial"/>
              </w:rPr>
            </w:r>
            <w:r>
              <w:rPr>
                <w:rFonts w:ascii="Arial" w:hAnsi="Arial"/>
                <w:b w:val="0"/>
                <w:sz w:val="16"/>
              </w:rPr>
              <w:t>Riesgo de pérdida de trazabilidad y retrasos en controles.</w:t>
            </w:r>
          </w:p>
        </w:tc>
        <w:tc>
          <w:tcPr>
            <w:tcW w:type="dxa" w:w="1584"/>
            <w:vAlign w:val="top"/>
            <w:shd w:fill="F4B183"/>
          </w:tcPr>
          <w:p>
            <w:pPr>
              <w:spacing w:after="0" w:before="0"/>
              <w:jc w:val="left"/>
            </w:pPr>
            <w:r>
              <w:rPr>
                <w:rFonts w:ascii="Arial" w:hAnsi="Arial"/>
              </w:rPr>
            </w:r>
            <w:r>
              <w:rPr>
                <w:rFonts w:ascii="Arial" w:hAnsi="Arial"/>
                <w:b w:val="0"/>
                <w:sz w:val="16"/>
              </w:rPr>
              <w:t>ALTA</w:t>
            </w:r>
          </w:p>
        </w:tc>
      </w:tr>
    </w:tbl>
    <w:p/>
    <w:p>
      <w:pPr>
        <w:pStyle w:val="Heading1"/>
      </w:pPr>
      <w:r>
        <w:t>2. Marco normativo de control aplicado</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168"/>
            <w:shd w:fill="1F4E79"/>
            <w:vAlign w:val="center"/>
          </w:tcPr>
          <w:p>
            <w:pPr>
              <w:spacing w:after="0" w:before="0"/>
              <w:jc w:val="left"/>
            </w:pPr>
            <w:r>
              <w:rPr>
                <w:rFonts w:ascii="Arial" w:hAnsi="Arial"/>
              </w:rPr>
            </w:r>
            <w:r>
              <w:rPr>
                <w:rFonts w:ascii="Arial" w:hAnsi="Arial"/>
                <w:b/>
                <w:color w:val="FFFFFF"/>
                <w:sz w:val="16"/>
              </w:rPr>
              <w:t>Norma o hito</w:t>
            </w:r>
          </w:p>
        </w:tc>
        <w:tc>
          <w:tcPr>
            <w:tcW w:type="dxa" w:w="4752"/>
            <w:shd w:fill="1F4E79"/>
            <w:vAlign w:val="center"/>
          </w:tcPr>
          <w:p>
            <w:pPr>
              <w:spacing w:after="0" w:before="0"/>
              <w:jc w:val="left"/>
            </w:pPr>
            <w:r>
              <w:rPr>
                <w:rFonts w:ascii="Arial" w:hAnsi="Arial"/>
              </w:rPr>
            </w:r>
            <w:r>
              <w:rPr>
                <w:rFonts w:ascii="Arial" w:hAnsi="Arial"/>
                <w:b/>
                <w:color w:val="FFFFFF"/>
                <w:sz w:val="16"/>
              </w:rPr>
              <w:t>Exigencia principal</w:t>
            </w:r>
          </w:p>
        </w:tc>
        <w:tc>
          <w:tcPr>
            <w:tcW w:type="dxa" w:w="4464"/>
            <w:shd w:fill="1F4E79"/>
            <w:vAlign w:val="center"/>
          </w:tcPr>
          <w:p>
            <w:pPr>
              <w:spacing w:after="0" w:before="0"/>
              <w:jc w:val="left"/>
            </w:pPr>
            <w:r>
              <w:rPr>
                <w:rFonts w:ascii="Arial" w:hAnsi="Arial"/>
              </w:rPr>
            </w:r>
            <w:r>
              <w:rPr>
                <w:rFonts w:ascii="Arial" w:hAnsi="Arial"/>
                <w:b/>
                <w:color w:val="FFFFFF"/>
                <w:sz w:val="16"/>
              </w:rPr>
              <w:t>Control recomendado</w:t>
            </w:r>
          </w:p>
        </w:tc>
      </w:tr>
      <w:tr>
        <w:trPr>
          <w:cantSplit/>
        </w:trPr>
        <w:tc>
          <w:tcPr>
            <w:tcW w:type="dxa" w:w="3168"/>
            <w:vAlign w:val="top"/>
          </w:tcPr>
          <w:p>
            <w:pPr>
              <w:spacing w:after="0" w:before="0"/>
              <w:jc w:val="left"/>
            </w:pPr>
            <w:r>
              <w:rPr>
                <w:rFonts w:ascii="Arial" w:hAnsi="Arial"/>
              </w:rPr>
            </w:r>
            <w:r>
              <w:rPr>
                <w:rFonts w:ascii="Arial" w:hAnsi="Arial"/>
                <w:b w:val="0"/>
                <w:sz w:val="16"/>
              </w:rPr>
              <w:t>Orden HAC/1072/2024</w:t>
            </w:r>
          </w:p>
        </w:tc>
        <w:tc>
          <w:tcPr>
            <w:tcW w:type="dxa" w:w="4752"/>
            <w:vAlign w:val="top"/>
          </w:tcPr>
          <w:p>
            <w:pPr>
              <w:spacing w:after="0" w:before="0"/>
              <w:jc w:val="left"/>
            </w:pPr>
            <w:r>
              <w:rPr>
                <w:rFonts w:ascii="Arial" w:hAnsi="Arial"/>
              </w:rPr>
            </w:r>
            <w:r>
              <w:rPr>
                <w:rFonts w:ascii="Arial" w:hAnsi="Arial"/>
                <w:b w:val="0"/>
                <w:sz w:val="16"/>
              </w:rPr>
              <w:t>Regula la asignación de senda financiera FEDER a PAI de entidades locales, define contenidos mínimos, elegibilidad, modificaciones, obligaciones de gestión y criterios de valoración.</w:t>
            </w:r>
          </w:p>
        </w:tc>
        <w:tc>
          <w:tcPr>
            <w:tcW w:type="dxa" w:w="4464"/>
            <w:vAlign w:val="top"/>
          </w:tcPr>
          <w:p>
            <w:pPr>
              <w:spacing w:after="0" w:before="0"/>
              <w:jc w:val="left"/>
            </w:pPr>
            <w:r>
              <w:rPr>
                <w:rFonts w:ascii="Arial" w:hAnsi="Arial"/>
              </w:rPr>
            </w:r>
            <w:r>
              <w:rPr>
                <w:rFonts w:ascii="Arial" w:hAnsi="Arial"/>
                <w:b w:val="0"/>
                <w:sz w:val="16"/>
              </w:rPr>
              <w:t>Crear matriz de trazabilidad entre cada actuación, tipo de acción, ámbito de intervención, indicador, presupuesto, plazo y evidencia.</w:t>
            </w:r>
          </w:p>
        </w:tc>
      </w:tr>
      <w:tr>
        <w:trPr>
          <w:cantSplit/>
        </w:trPr>
        <w:tc>
          <w:tcPr>
            <w:tcW w:type="dxa" w:w="3168"/>
            <w:vAlign w:val="top"/>
          </w:tcPr>
          <w:p>
            <w:pPr>
              <w:spacing w:after="0" w:before="0"/>
              <w:jc w:val="left"/>
            </w:pPr>
            <w:r>
              <w:rPr>
                <w:rFonts w:ascii="Arial" w:hAnsi="Arial"/>
              </w:rPr>
            </w:r>
            <w:r>
              <w:rPr>
                <w:rFonts w:ascii="Arial" w:hAnsi="Arial"/>
                <w:b w:val="0"/>
                <w:sz w:val="16"/>
              </w:rPr>
              <w:t>Reglamento UE 2021/1060</w:t>
            </w:r>
          </w:p>
        </w:tc>
        <w:tc>
          <w:tcPr>
            <w:tcW w:type="dxa" w:w="4752"/>
            <w:vAlign w:val="top"/>
          </w:tcPr>
          <w:p>
            <w:pPr>
              <w:spacing w:after="0" w:before="0"/>
              <w:jc w:val="left"/>
            </w:pPr>
            <w:r>
              <w:rPr>
                <w:rFonts w:ascii="Arial" w:hAnsi="Arial"/>
              </w:rPr>
            </w:r>
            <w:r>
              <w:rPr>
                <w:rFonts w:ascii="Arial" w:hAnsi="Arial"/>
                <w:b w:val="0"/>
                <w:sz w:val="16"/>
              </w:rPr>
              <w:t>Obliga al cumplimiento de información, publicidad, transparencia, pista de auditoría, disponibilidad documental, conservación de documentos y verificaciones.</w:t>
            </w:r>
          </w:p>
        </w:tc>
        <w:tc>
          <w:tcPr>
            <w:tcW w:type="dxa" w:w="4464"/>
            <w:vAlign w:val="top"/>
          </w:tcPr>
          <w:p>
            <w:pPr>
              <w:spacing w:after="0" w:before="0"/>
              <w:jc w:val="left"/>
            </w:pPr>
            <w:r>
              <w:rPr>
                <w:rFonts w:ascii="Arial" w:hAnsi="Arial"/>
              </w:rPr>
            </w:r>
            <w:r>
              <w:rPr>
                <w:rFonts w:ascii="Arial" w:hAnsi="Arial"/>
                <w:b w:val="0"/>
                <w:sz w:val="16"/>
              </w:rPr>
              <w:t>Abrir carpeta de evidencias FEDER por operación, con control de versiones, capturas, fotografías, publicaciones, facturas, pagos y certificados.</w:t>
            </w:r>
          </w:p>
        </w:tc>
      </w:tr>
      <w:tr>
        <w:trPr>
          <w:cantSplit/>
        </w:trPr>
        <w:tc>
          <w:tcPr>
            <w:tcW w:type="dxa" w:w="3168"/>
            <w:vAlign w:val="top"/>
          </w:tcPr>
          <w:p>
            <w:pPr>
              <w:spacing w:after="0" w:before="0"/>
              <w:jc w:val="left"/>
            </w:pPr>
            <w:r>
              <w:rPr>
                <w:rFonts w:ascii="Arial" w:hAnsi="Arial"/>
              </w:rPr>
            </w:r>
            <w:r>
              <w:rPr>
                <w:rFonts w:ascii="Arial" w:hAnsi="Arial"/>
                <w:b w:val="0"/>
                <w:sz w:val="16"/>
              </w:rPr>
              <w:t>Resolución definitiva, 16/01/2026, publicación BOE 19/02/2026</w:t>
            </w:r>
          </w:p>
        </w:tc>
        <w:tc>
          <w:tcPr>
            <w:tcW w:type="dxa" w:w="4752"/>
            <w:vAlign w:val="top"/>
          </w:tcPr>
          <w:p>
            <w:pPr>
              <w:spacing w:after="0" w:before="0"/>
              <w:jc w:val="left"/>
            </w:pPr>
            <w:r>
              <w:rPr>
                <w:rFonts w:ascii="Arial" w:hAnsi="Arial"/>
              </w:rPr>
            </w:r>
            <w:r>
              <w:rPr>
                <w:rFonts w:ascii="Arial" w:hAnsi="Arial"/>
                <w:b w:val="0"/>
                <w:sz w:val="16"/>
              </w:rPr>
              <w:t>Activa las obligaciones posteriores de los Organismos Intermedios Ligeros y la formalización de funciones.</w:t>
            </w:r>
          </w:p>
        </w:tc>
        <w:tc>
          <w:tcPr>
            <w:tcW w:type="dxa" w:w="4464"/>
            <w:vAlign w:val="top"/>
          </w:tcPr>
          <w:p>
            <w:pPr>
              <w:spacing w:after="0" w:before="0"/>
              <w:jc w:val="left"/>
            </w:pPr>
            <w:r>
              <w:rPr>
                <w:rFonts w:ascii="Arial" w:hAnsi="Arial"/>
              </w:rPr>
            </w:r>
            <w:r>
              <w:rPr>
                <w:rFonts w:ascii="Arial" w:hAnsi="Arial"/>
                <w:b w:val="0"/>
                <w:sz w:val="16"/>
              </w:rPr>
              <w:t>Verificar expediente de aceptación, Descripción de Funciones, Manual de Procedimientos, autoevaluación de fraude y acuerdo de atribución.</w:t>
            </w:r>
          </w:p>
        </w:tc>
      </w:tr>
      <w:tr>
        <w:trPr>
          <w:cantSplit/>
        </w:trPr>
        <w:tc>
          <w:tcPr>
            <w:tcW w:type="dxa" w:w="3168"/>
            <w:vAlign w:val="top"/>
          </w:tcPr>
          <w:p>
            <w:pPr>
              <w:spacing w:after="0" w:before="0"/>
              <w:jc w:val="left"/>
            </w:pPr>
            <w:r>
              <w:rPr>
                <w:rFonts w:ascii="Arial" w:hAnsi="Arial"/>
              </w:rPr>
            </w:r>
            <w:r>
              <w:rPr>
                <w:rFonts w:ascii="Arial" w:hAnsi="Arial"/>
                <w:b w:val="0"/>
                <w:sz w:val="16"/>
              </w:rPr>
              <w:t>Hito 31/03/2027</w:t>
            </w:r>
          </w:p>
        </w:tc>
        <w:tc>
          <w:tcPr>
            <w:tcW w:type="dxa" w:w="4752"/>
            <w:vAlign w:val="top"/>
          </w:tcPr>
          <w:p>
            <w:pPr>
              <w:spacing w:after="0" w:before="0"/>
              <w:jc w:val="left"/>
            </w:pPr>
            <w:r>
              <w:rPr>
                <w:rFonts w:ascii="Arial" w:hAnsi="Arial"/>
              </w:rPr>
            </w:r>
            <w:r>
              <w:rPr>
                <w:rFonts w:ascii="Arial" w:hAnsi="Arial"/>
                <w:b w:val="0"/>
                <w:sz w:val="16"/>
              </w:rPr>
              <w:t>Operaciones seleccionadas por al menos el 70 % del gasto y justificación de al menos el 20 % de la ayuda.</w:t>
            </w:r>
          </w:p>
        </w:tc>
        <w:tc>
          <w:tcPr>
            <w:tcW w:type="dxa" w:w="4464"/>
            <w:vAlign w:val="top"/>
          </w:tcPr>
          <w:p>
            <w:pPr>
              <w:spacing w:after="0" w:before="0"/>
              <w:jc w:val="left"/>
            </w:pPr>
            <w:r>
              <w:rPr>
                <w:rFonts w:ascii="Arial" w:hAnsi="Arial"/>
              </w:rPr>
            </w:r>
            <w:r>
              <w:rPr>
                <w:rFonts w:ascii="Arial" w:hAnsi="Arial"/>
                <w:b w:val="0"/>
                <w:sz w:val="16"/>
              </w:rPr>
              <w:t>Cuadro mensual de selección, licitación, adjudicación, ejecución, certificación, pago y declaración de gasto.</w:t>
            </w:r>
          </w:p>
        </w:tc>
      </w:tr>
      <w:tr>
        <w:trPr>
          <w:cantSplit/>
        </w:trPr>
        <w:tc>
          <w:tcPr>
            <w:tcW w:type="dxa" w:w="3168"/>
            <w:vAlign w:val="top"/>
          </w:tcPr>
          <w:p>
            <w:pPr>
              <w:spacing w:after="0" w:before="0"/>
              <w:jc w:val="left"/>
            </w:pPr>
            <w:r>
              <w:rPr>
                <w:rFonts w:ascii="Arial" w:hAnsi="Arial"/>
              </w:rPr>
            </w:r>
            <w:r>
              <w:rPr>
                <w:rFonts w:ascii="Arial" w:hAnsi="Arial"/>
                <w:b w:val="0"/>
                <w:sz w:val="16"/>
              </w:rPr>
              <w:t>Reprogramaciones 2028 y 2029</w:t>
            </w:r>
          </w:p>
        </w:tc>
        <w:tc>
          <w:tcPr>
            <w:tcW w:type="dxa" w:w="4752"/>
            <w:vAlign w:val="top"/>
          </w:tcPr>
          <w:p>
            <w:pPr>
              <w:spacing w:after="0" w:before="0"/>
              <w:jc w:val="left"/>
            </w:pPr>
            <w:r>
              <w:rPr>
                <w:rFonts w:ascii="Arial" w:hAnsi="Arial"/>
              </w:rPr>
            </w:r>
            <w:r>
              <w:rPr>
                <w:rFonts w:ascii="Arial" w:hAnsi="Arial"/>
                <w:b w:val="0"/>
                <w:sz w:val="16"/>
              </w:rPr>
              <w:t>La revisión puede repetirse con datos a 31/03/2028 y 31/03/2029.</w:t>
            </w:r>
          </w:p>
        </w:tc>
        <w:tc>
          <w:tcPr>
            <w:tcW w:type="dxa" w:w="4464"/>
            <w:vAlign w:val="top"/>
          </w:tcPr>
          <w:p>
            <w:pPr>
              <w:spacing w:after="0" w:before="0"/>
              <w:jc w:val="left"/>
            </w:pPr>
            <w:r>
              <w:rPr>
                <w:rFonts w:ascii="Arial" w:hAnsi="Arial"/>
              </w:rPr>
            </w:r>
            <w:r>
              <w:rPr>
                <w:rFonts w:ascii="Arial" w:hAnsi="Arial"/>
                <w:b w:val="0"/>
                <w:sz w:val="16"/>
              </w:rPr>
              <w:t>Semáforo trimestral de riesgo y propuesta de reprogramación preventiva cuando proceda.</w:t>
            </w:r>
          </w:p>
        </w:tc>
      </w:tr>
      <w:tr>
        <w:trPr>
          <w:cantSplit/>
        </w:trPr>
        <w:tc>
          <w:tcPr>
            <w:tcW w:type="dxa" w:w="3168"/>
            <w:vAlign w:val="top"/>
          </w:tcPr>
          <w:p>
            <w:pPr>
              <w:spacing w:after="0" w:before="0"/>
              <w:jc w:val="left"/>
            </w:pPr>
            <w:r>
              <w:rPr>
                <w:rFonts w:ascii="Arial" w:hAnsi="Arial"/>
              </w:rPr>
            </w:r>
            <w:r>
              <w:rPr>
                <w:rFonts w:ascii="Arial" w:hAnsi="Arial"/>
                <w:b w:val="0"/>
                <w:sz w:val="16"/>
              </w:rPr>
              <w:t>Elegibilidad y justificación final</w:t>
            </w:r>
          </w:p>
        </w:tc>
        <w:tc>
          <w:tcPr>
            <w:tcW w:type="dxa" w:w="4752"/>
            <w:vAlign w:val="top"/>
          </w:tcPr>
          <w:p>
            <w:pPr>
              <w:spacing w:after="0" w:before="0"/>
              <w:jc w:val="left"/>
            </w:pPr>
            <w:r>
              <w:rPr>
                <w:rFonts w:ascii="Arial" w:hAnsi="Arial"/>
              </w:rPr>
            </w:r>
            <w:r>
              <w:rPr>
                <w:rFonts w:ascii="Arial" w:hAnsi="Arial"/>
                <w:b w:val="0"/>
                <w:sz w:val="16"/>
              </w:rPr>
              <w:t>Gasto elegible hasta 31/12/2029, con justificación final hasta 31/03/2030, salvo reglas específicas de determinados ámbitos.</w:t>
            </w:r>
          </w:p>
        </w:tc>
        <w:tc>
          <w:tcPr>
            <w:tcW w:type="dxa" w:w="4464"/>
            <w:vAlign w:val="top"/>
          </w:tcPr>
          <w:p>
            <w:pPr>
              <w:spacing w:after="0" w:before="0"/>
              <w:jc w:val="left"/>
            </w:pPr>
            <w:r>
              <w:rPr>
                <w:rFonts w:ascii="Arial" w:hAnsi="Arial"/>
              </w:rPr>
            </w:r>
            <w:r>
              <w:rPr>
                <w:rFonts w:ascii="Arial" w:hAnsi="Arial"/>
                <w:b w:val="0"/>
                <w:sz w:val="16"/>
              </w:rPr>
              <w:t>Cierre documental progresivo, no dejar la validación de expedientes para el último trimestre de 2029.</w:t>
            </w:r>
          </w:p>
        </w:tc>
      </w:tr>
    </w:tbl>
    <w:p/>
    <w:p>
      <w:pPr>
        <w:pStyle w:val="Heading1"/>
      </w:pPr>
      <w:r>
        <w:t>3. Criterios de urgencia utilizados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1584"/>
            <w:shd w:fill="1F4E79"/>
            <w:vAlign w:val="center"/>
          </w:tcPr>
          <w:p>
            <w:pPr>
              <w:spacing w:after="0" w:before="0"/>
              <w:jc w:val="left"/>
            </w:pPr>
            <w:r>
              <w:rPr>
                <w:rFonts w:ascii="Arial" w:hAnsi="Arial"/>
              </w:rPr>
            </w:r>
            <w:r>
              <w:rPr>
                <w:rFonts w:ascii="Arial" w:hAnsi="Arial"/>
                <w:b/>
                <w:color w:val="FFFFFF"/>
                <w:sz w:val="17"/>
              </w:rPr>
              <w:t>Nivel</w:t>
            </w:r>
          </w:p>
        </w:tc>
        <w:tc>
          <w:tcPr>
            <w:tcW w:type="dxa" w:w="7343"/>
            <w:shd w:fill="1F4E79"/>
            <w:vAlign w:val="center"/>
          </w:tcPr>
          <w:p>
            <w:pPr>
              <w:spacing w:after="0" w:before="0"/>
              <w:jc w:val="left"/>
            </w:pPr>
            <w:r>
              <w:rPr>
                <w:rFonts w:ascii="Arial" w:hAnsi="Arial"/>
              </w:rPr>
            </w:r>
            <w:r>
              <w:rPr>
                <w:rFonts w:ascii="Arial" w:hAnsi="Arial"/>
                <w:b/>
                <w:color w:val="FFFFFF"/>
                <w:sz w:val="17"/>
              </w:rPr>
              <w:t>Definición operativa</w:t>
            </w:r>
          </w:p>
        </w:tc>
        <w:tc>
          <w:tcPr>
            <w:tcW w:type="dxa" w:w="3024"/>
            <w:shd w:fill="1F4E79"/>
            <w:vAlign w:val="center"/>
          </w:tcPr>
          <w:p>
            <w:pPr>
              <w:spacing w:after="0" w:before="0"/>
              <w:jc w:val="left"/>
            </w:pPr>
            <w:r>
              <w:rPr>
                <w:rFonts w:ascii="Arial" w:hAnsi="Arial"/>
              </w:rPr>
            </w:r>
            <w:r>
              <w:rPr>
                <w:rFonts w:ascii="Arial" w:hAnsi="Arial"/>
                <w:b/>
                <w:color w:val="FFFFFF"/>
                <w:sz w:val="17"/>
              </w:rPr>
              <w:t>Plazo recomendado</w:t>
            </w:r>
          </w:p>
        </w:tc>
      </w:tr>
      <w:tr>
        <w:trPr>
          <w:cantSplit/>
        </w:trPr>
        <w:tc>
          <w:tcPr>
            <w:tcW w:type="dxa" w:w="1584"/>
            <w:vAlign w:val="top"/>
          </w:tcPr>
          <w:p>
            <w:pPr>
              <w:spacing w:after="0" w:before="0"/>
              <w:jc w:val="left"/>
            </w:pPr>
            <w:r>
              <w:rPr>
                <w:rFonts w:ascii="Arial" w:hAnsi="Arial"/>
              </w:rPr>
            </w:r>
            <w:r>
              <w:rPr>
                <w:rFonts w:ascii="Arial" w:hAnsi="Arial"/>
                <w:b w:val="0"/>
                <w:sz w:val="17"/>
              </w:rPr>
              <w:t>CRÍTICA</w:t>
            </w:r>
          </w:p>
        </w:tc>
        <w:tc>
          <w:tcPr>
            <w:tcW w:type="dxa" w:w="7343"/>
            <w:vAlign w:val="top"/>
          </w:tcPr>
          <w:p>
            <w:pPr>
              <w:spacing w:after="0" w:before="0"/>
              <w:jc w:val="left"/>
            </w:pPr>
            <w:r>
              <w:rPr>
                <w:rFonts w:ascii="Arial" w:hAnsi="Arial"/>
              </w:rPr>
            </w:r>
            <w:r>
              <w:rPr>
                <w:rFonts w:ascii="Arial" w:hAnsi="Arial"/>
                <w:b w:val="0"/>
                <w:sz w:val="17"/>
              </w:rPr>
              <w:t>Incumplimiento posible de una obligación vencida o hito que puede afectar a la senda financiera, la selección de operaciones o la justificación mínima.</w:t>
            </w:r>
          </w:p>
        </w:tc>
        <w:tc>
          <w:tcPr>
            <w:tcW w:type="dxa" w:w="3024"/>
            <w:vAlign w:val="top"/>
          </w:tcPr>
          <w:p>
            <w:pPr>
              <w:spacing w:after="0" w:before="0"/>
              <w:jc w:val="left"/>
            </w:pPr>
            <w:r>
              <w:rPr>
                <w:rFonts w:ascii="Arial" w:hAnsi="Arial"/>
              </w:rPr>
            </w:r>
            <w:r>
              <w:rPr>
                <w:rFonts w:ascii="Arial" w:hAnsi="Arial"/>
                <w:b w:val="0"/>
                <w:sz w:val="17"/>
              </w:rPr>
              <w:t>Actuación inmediata, 0 a 15 días.</w:t>
            </w:r>
          </w:p>
        </w:tc>
      </w:tr>
      <w:tr>
        <w:trPr>
          <w:cantSplit/>
        </w:trPr>
        <w:tc>
          <w:tcPr>
            <w:tcW w:type="dxa" w:w="1584"/>
            <w:vAlign w:val="top"/>
          </w:tcPr>
          <w:p>
            <w:pPr>
              <w:spacing w:after="0" w:before="0"/>
              <w:jc w:val="left"/>
            </w:pPr>
            <w:r>
              <w:rPr>
                <w:rFonts w:ascii="Arial" w:hAnsi="Arial"/>
              </w:rPr>
            </w:r>
            <w:r>
              <w:rPr>
                <w:rFonts w:ascii="Arial" w:hAnsi="Arial"/>
                <w:b w:val="0"/>
                <w:sz w:val="17"/>
              </w:rPr>
              <w:t>ALTA</w:t>
            </w:r>
          </w:p>
        </w:tc>
        <w:tc>
          <w:tcPr>
            <w:tcW w:type="dxa" w:w="7343"/>
            <w:vAlign w:val="top"/>
          </w:tcPr>
          <w:p>
            <w:pPr>
              <w:spacing w:after="0" w:before="0"/>
              <w:jc w:val="left"/>
            </w:pPr>
            <w:r>
              <w:rPr>
                <w:rFonts w:ascii="Arial" w:hAnsi="Arial"/>
              </w:rPr>
            </w:r>
            <w:r>
              <w:rPr>
                <w:rFonts w:ascii="Arial" w:hAnsi="Arial"/>
                <w:b w:val="0"/>
                <w:sz w:val="17"/>
              </w:rPr>
              <w:t>Riesgo material de retraso, bloqueo de licitación, falta de autorización, pliego incompleto o falta de evidencia documental.</w:t>
            </w:r>
          </w:p>
        </w:tc>
        <w:tc>
          <w:tcPr>
            <w:tcW w:type="dxa" w:w="3024"/>
            <w:vAlign w:val="top"/>
          </w:tcPr>
          <w:p>
            <w:pPr>
              <w:spacing w:after="0" w:before="0"/>
              <w:jc w:val="left"/>
            </w:pPr>
            <w:r>
              <w:rPr>
                <w:rFonts w:ascii="Arial" w:hAnsi="Arial"/>
              </w:rPr>
            </w:r>
            <w:r>
              <w:rPr>
                <w:rFonts w:ascii="Arial" w:hAnsi="Arial"/>
                <w:b w:val="0"/>
                <w:sz w:val="17"/>
              </w:rPr>
              <w:t>Corrección o plan cerrado en 30 a 60 días.</w:t>
            </w:r>
          </w:p>
        </w:tc>
      </w:tr>
      <w:tr>
        <w:trPr>
          <w:cantSplit/>
        </w:trPr>
        <w:tc>
          <w:tcPr>
            <w:tcW w:type="dxa" w:w="1584"/>
            <w:vAlign w:val="top"/>
          </w:tcPr>
          <w:p>
            <w:pPr>
              <w:spacing w:after="0" w:before="0"/>
              <w:jc w:val="left"/>
            </w:pPr>
            <w:r>
              <w:rPr>
                <w:rFonts w:ascii="Arial" w:hAnsi="Arial"/>
              </w:rPr>
            </w:r>
            <w:r>
              <w:rPr>
                <w:rFonts w:ascii="Arial" w:hAnsi="Arial"/>
                <w:b w:val="0"/>
                <w:sz w:val="17"/>
              </w:rPr>
              <w:t>MEDIA</w:t>
            </w:r>
          </w:p>
        </w:tc>
        <w:tc>
          <w:tcPr>
            <w:tcW w:type="dxa" w:w="7343"/>
            <w:vAlign w:val="top"/>
          </w:tcPr>
          <w:p>
            <w:pPr>
              <w:spacing w:after="0" w:before="0"/>
              <w:jc w:val="left"/>
            </w:pPr>
            <w:r>
              <w:rPr>
                <w:rFonts w:ascii="Arial" w:hAnsi="Arial"/>
              </w:rPr>
            </w:r>
            <w:r>
              <w:rPr>
                <w:rFonts w:ascii="Arial" w:hAnsi="Arial"/>
                <w:b w:val="0"/>
                <w:sz w:val="17"/>
              </w:rPr>
              <w:t>Mejora necesaria para robustecer la ejecución, reducir riesgos y preparar auditoría, sin bloqueo inmediato.</w:t>
            </w:r>
          </w:p>
        </w:tc>
        <w:tc>
          <w:tcPr>
            <w:tcW w:type="dxa" w:w="3024"/>
            <w:vAlign w:val="top"/>
          </w:tcPr>
          <w:p>
            <w:pPr>
              <w:spacing w:after="0" w:before="0"/>
              <w:jc w:val="left"/>
            </w:pPr>
            <w:r>
              <w:rPr>
                <w:rFonts w:ascii="Arial" w:hAnsi="Arial"/>
              </w:rPr>
            </w:r>
            <w:r>
              <w:rPr>
                <w:rFonts w:ascii="Arial" w:hAnsi="Arial"/>
                <w:b w:val="0"/>
                <w:sz w:val="17"/>
              </w:rPr>
              <w:t>Corrección en 90 días.</w:t>
            </w:r>
          </w:p>
        </w:tc>
      </w:tr>
      <w:tr>
        <w:trPr>
          <w:cantSplit/>
        </w:trPr>
        <w:tc>
          <w:tcPr>
            <w:tcW w:type="dxa" w:w="1584"/>
            <w:vAlign w:val="top"/>
          </w:tcPr>
          <w:p>
            <w:pPr>
              <w:spacing w:after="0" w:before="0"/>
              <w:jc w:val="left"/>
            </w:pPr>
            <w:r>
              <w:rPr>
                <w:rFonts w:ascii="Arial" w:hAnsi="Arial"/>
              </w:rPr>
            </w:r>
            <w:r>
              <w:rPr>
                <w:rFonts w:ascii="Arial" w:hAnsi="Arial"/>
                <w:b w:val="0"/>
                <w:sz w:val="17"/>
              </w:rPr>
              <w:t>ORDINARIA</w:t>
            </w:r>
          </w:p>
        </w:tc>
        <w:tc>
          <w:tcPr>
            <w:tcW w:type="dxa" w:w="7343"/>
            <w:vAlign w:val="top"/>
          </w:tcPr>
          <w:p>
            <w:pPr>
              <w:spacing w:after="0" w:before="0"/>
              <w:jc w:val="left"/>
            </w:pPr>
            <w:r>
              <w:rPr>
                <w:rFonts w:ascii="Arial" w:hAnsi="Arial"/>
              </w:rPr>
            </w:r>
            <w:r>
              <w:rPr>
                <w:rFonts w:ascii="Arial" w:hAnsi="Arial"/>
                <w:b w:val="0"/>
                <w:sz w:val="17"/>
              </w:rPr>
              <w:t>Control de calidad, seguimiento periódico o mejora de presentación.</w:t>
            </w:r>
          </w:p>
        </w:tc>
        <w:tc>
          <w:tcPr>
            <w:tcW w:type="dxa" w:w="3024"/>
            <w:vAlign w:val="top"/>
          </w:tcPr>
          <w:p>
            <w:pPr>
              <w:spacing w:after="0" w:before="0"/>
              <w:jc w:val="left"/>
            </w:pPr>
            <w:r>
              <w:rPr>
                <w:rFonts w:ascii="Arial" w:hAnsi="Arial"/>
              </w:rPr>
            </w:r>
            <w:r>
              <w:rPr>
                <w:rFonts w:ascii="Arial" w:hAnsi="Arial"/>
                <w:b w:val="0"/>
                <w:sz w:val="17"/>
              </w:rPr>
              <w:t>Revisión trimestral.</w:t>
            </w:r>
          </w:p>
        </w:tc>
      </w:tr>
    </w:tbl>
    <w:p/>
    <w:p>
      <w:pPr>
        <w:pStyle w:val="Heading1"/>
      </w:pPr>
      <w:r>
        <w:t>4. Modelo de control recomendado para los 6 PAI</w:t>
      </w:r>
    </w:p>
    <w:p>
      <w:r>
        <w:t>Se recomienda implantar una Oficina Técnica de Seguimiento Documental y Operativo de PAI, con un cuadro de mando único, una ficha FEDER por operación y un repositorio documental normalizado. La clave es pasar de memorias estratégicas a expedientes ejecutivos controlables.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2592"/>
            <w:shd w:fill="1F4E79"/>
            <w:vAlign w:val="center"/>
          </w:tcPr>
          <w:p>
            <w:pPr>
              <w:spacing w:after="0" w:before="0"/>
              <w:jc w:val="left"/>
            </w:pPr>
            <w:r>
              <w:rPr>
                <w:rFonts w:ascii="Arial" w:hAnsi="Arial"/>
              </w:rPr>
            </w:r>
            <w:r>
              <w:rPr>
                <w:rFonts w:ascii="Arial" w:hAnsi="Arial"/>
                <w:b/>
                <w:color w:val="FFFFFF"/>
                <w:sz w:val="16"/>
              </w:rPr>
              <w:t>Bloque de control</w:t>
            </w:r>
          </w:p>
        </w:tc>
        <w:tc>
          <w:tcPr>
            <w:tcW w:type="dxa" w:w="7200"/>
            <w:shd w:fill="1F4E79"/>
            <w:vAlign w:val="center"/>
          </w:tcPr>
          <w:p>
            <w:pPr>
              <w:spacing w:after="0" w:before="0"/>
              <w:jc w:val="left"/>
            </w:pPr>
            <w:r>
              <w:rPr>
                <w:rFonts w:ascii="Arial" w:hAnsi="Arial"/>
              </w:rPr>
            </w:r>
            <w:r>
              <w:rPr>
                <w:rFonts w:ascii="Arial" w:hAnsi="Arial"/>
                <w:b/>
                <w:color w:val="FFFFFF"/>
                <w:sz w:val="16"/>
              </w:rPr>
              <w:t>Contenido mínimo</w:t>
            </w:r>
          </w:p>
        </w:tc>
        <w:tc>
          <w:tcPr>
            <w:tcW w:type="dxa" w:w="2160"/>
            <w:shd w:fill="1F4E79"/>
            <w:vAlign w:val="center"/>
          </w:tcPr>
          <w:p>
            <w:pPr>
              <w:spacing w:after="0" w:before="0"/>
              <w:jc w:val="left"/>
            </w:pPr>
            <w:r>
              <w:rPr>
                <w:rFonts w:ascii="Arial" w:hAnsi="Arial"/>
              </w:rPr>
            </w:r>
            <w:r>
              <w:rPr>
                <w:rFonts w:ascii="Arial" w:hAnsi="Arial"/>
                <w:b/>
                <w:color w:val="FFFFFF"/>
                <w:sz w:val="16"/>
              </w:rPr>
              <w:t>Periodicidad</w:t>
            </w:r>
          </w:p>
        </w:tc>
      </w:tr>
      <w:tr>
        <w:trPr>
          <w:cantSplit/>
        </w:trPr>
        <w:tc>
          <w:tcPr>
            <w:tcW w:type="dxa" w:w="2592"/>
            <w:vAlign w:val="top"/>
          </w:tcPr>
          <w:p>
            <w:pPr>
              <w:spacing w:after="0" w:before="0"/>
              <w:jc w:val="left"/>
            </w:pPr>
            <w:r>
              <w:rPr>
                <w:rFonts w:ascii="Arial" w:hAnsi="Arial"/>
              </w:rPr>
            </w:r>
            <w:r>
              <w:rPr>
                <w:rFonts w:ascii="Arial" w:hAnsi="Arial"/>
                <w:b w:val="0"/>
                <w:sz w:val="16"/>
              </w:rPr>
              <w:t>Ficha de operación FEDER</w:t>
            </w:r>
          </w:p>
        </w:tc>
        <w:tc>
          <w:tcPr>
            <w:tcW w:type="dxa" w:w="7200"/>
            <w:vAlign w:val="top"/>
          </w:tcPr>
          <w:p>
            <w:pPr>
              <w:spacing w:after="0" w:before="0"/>
              <w:jc w:val="left"/>
            </w:pPr>
            <w:r>
              <w:rPr>
                <w:rFonts w:ascii="Arial" w:hAnsi="Arial"/>
              </w:rPr>
            </w:r>
            <w:r>
              <w:rPr>
                <w:rFonts w:ascii="Arial" w:hAnsi="Arial"/>
                <w:b w:val="0"/>
                <w:sz w:val="16"/>
              </w:rPr>
              <w:t>PAI, municipio, actuación, código, presupuesto, tipo de acción, ámbito de intervención, indicador, responsable, estado técnico, autorizaciones, contratación, gasto y comunicación.</w:t>
            </w:r>
          </w:p>
        </w:tc>
        <w:tc>
          <w:tcPr>
            <w:tcW w:type="dxa" w:w="2160"/>
            <w:vAlign w:val="top"/>
          </w:tcPr>
          <w:p>
            <w:pPr>
              <w:spacing w:after="0" w:before="0"/>
              <w:jc w:val="left"/>
            </w:pPr>
            <w:r>
              <w:rPr>
                <w:rFonts w:ascii="Arial" w:hAnsi="Arial"/>
              </w:rPr>
            </w:r>
            <w:r>
              <w:rPr>
                <w:rFonts w:ascii="Arial" w:hAnsi="Arial"/>
                <w:b w:val="0"/>
                <w:sz w:val="16"/>
              </w:rPr>
              <w:t>Actualización mensual.</w:t>
            </w:r>
          </w:p>
        </w:tc>
      </w:tr>
      <w:tr>
        <w:trPr>
          <w:cantSplit/>
        </w:trPr>
        <w:tc>
          <w:tcPr>
            <w:tcW w:type="dxa" w:w="2592"/>
            <w:vAlign w:val="top"/>
          </w:tcPr>
          <w:p>
            <w:pPr>
              <w:spacing w:after="0" w:before="0"/>
              <w:jc w:val="left"/>
            </w:pPr>
            <w:r>
              <w:rPr>
                <w:rFonts w:ascii="Arial" w:hAnsi="Arial"/>
              </w:rPr>
            </w:r>
            <w:r>
              <w:rPr>
                <w:rFonts w:ascii="Arial" w:hAnsi="Arial"/>
                <w:b w:val="0"/>
                <w:sz w:val="16"/>
              </w:rPr>
              <w:t>Matriz de madurez</w:t>
            </w:r>
          </w:p>
        </w:tc>
        <w:tc>
          <w:tcPr>
            <w:tcW w:type="dxa" w:w="7200"/>
            <w:vAlign w:val="top"/>
          </w:tcPr>
          <w:p>
            <w:pPr>
              <w:spacing w:after="0" w:before="0"/>
              <w:jc w:val="left"/>
            </w:pPr>
            <w:r>
              <w:rPr>
                <w:rFonts w:ascii="Arial" w:hAnsi="Arial"/>
              </w:rPr>
            </w:r>
            <w:r>
              <w:rPr>
                <w:rFonts w:ascii="Arial" w:hAnsi="Arial"/>
                <w:b w:val="0"/>
                <w:sz w:val="16"/>
              </w:rPr>
              <w:t>Idea, anteproyecto, proyecto básico, proyecto de ejecución, permisos, pliego, licitación, adjudicación, ejecución, certificación y pago.</w:t>
            </w:r>
          </w:p>
        </w:tc>
        <w:tc>
          <w:tcPr>
            <w:tcW w:type="dxa" w:w="2160"/>
            <w:vAlign w:val="top"/>
          </w:tcPr>
          <w:p>
            <w:pPr>
              <w:spacing w:after="0" w:before="0"/>
              <w:jc w:val="left"/>
            </w:pPr>
            <w:r>
              <w:rPr>
                <w:rFonts w:ascii="Arial" w:hAnsi="Arial"/>
              </w:rPr>
            </w:r>
            <w:r>
              <w:rPr>
                <w:rFonts w:ascii="Arial" w:hAnsi="Arial"/>
                <w:b w:val="0"/>
                <w:sz w:val="16"/>
              </w:rPr>
              <w:t>Mensual hasta 31/03/2027.</w:t>
            </w:r>
          </w:p>
        </w:tc>
      </w:tr>
      <w:tr>
        <w:trPr>
          <w:cantSplit/>
        </w:trPr>
        <w:tc>
          <w:tcPr>
            <w:tcW w:type="dxa" w:w="2592"/>
            <w:vAlign w:val="top"/>
          </w:tcPr>
          <w:p>
            <w:pPr>
              <w:spacing w:after="0" w:before="0"/>
              <w:jc w:val="left"/>
            </w:pPr>
            <w:r>
              <w:rPr>
                <w:rFonts w:ascii="Arial" w:hAnsi="Arial"/>
              </w:rPr>
            </w:r>
            <w:r>
              <w:rPr>
                <w:rFonts w:ascii="Arial" w:hAnsi="Arial"/>
                <w:b w:val="0"/>
                <w:sz w:val="16"/>
              </w:rPr>
              <w:t>Control 70 % y 20 %</w:t>
            </w:r>
          </w:p>
        </w:tc>
        <w:tc>
          <w:tcPr>
            <w:tcW w:type="dxa" w:w="7200"/>
            <w:vAlign w:val="top"/>
          </w:tcPr>
          <w:p>
            <w:pPr>
              <w:spacing w:after="0" w:before="0"/>
              <w:jc w:val="left"/>
            </w:pPr>
            <w:r>
              <w:rPr>
                <w:rFonts w:ascii="Arial" w:hAnsi="Arial"/>
              </w:rPr>
            </w:r>
            <w:r>
              <w:rPr>
                <w:rFonts w:ascii="Arial" w:hAnsi="Arial"/>
                <w:b w:val="0"/>
                <w:sz w:val="16"/>
              </w:rPr>
              <w:t>Porcentaje de gasto seleccionado y ayuda justificada, por PAI y agregado provincial.</w:t>
            </w:r>
          </w:p>
        </w:tc>
        <w:tc>
          <w:tcPr>
            <w:tcW w:type="dxa" w:w="2160"/>
            <w:vAlign w:val="top"/>
          </w:tcPr>
          <w:p>
            <w:pPr>
              <w:spacing w:after="0" w:before="0"/>
              <w:jc w:val="left"/>
            </w:pPr>
            <w:r>
              <w:rPr>
                <w:rFonts w:ascii="Arial" w:hAnsi="Arial"/>
              </w:rPr>
            </w:r>
            <w:r>
              <w:rPr>
                <w:rFonts w:ascii="Arial" w:hAnsi="Arial"/>
                <w:b w:val="0"/>
                <w:sz w:val="16"/>
              </w:rPr>
              <w:t>Mensual, con cierre específico cada trimestre.</w:t>
            </w:r>
          </w:p>
        </w:tc>
      </w:tr>
      <w:tr>
        <w:trPr>
          <w:cantSplit/>
        </w:trPr>
        <w:tc>
          <w:tcPr>
            <w:tcW w:type="dxa" w:w="2592"/>
            <w:vAlign w:val="top"/>
          </w:tcPr>
          <w:p>
            <w:pPr>
              <w:spacing w:after="0" w:before="0"/>
              <w:jc w:val="left"/>
            </w:pPr>
            <w:r>
              <w:rPr>
                <w:rFonts w:ascii="Arial" w:hAnsi="Arial"/>
              </w:rPr>
            </w:r>
            <w:r>
              <w:rPr>
                <w:rFonts w:ascii="Arial" w:hAnsi="Arial"/>
                <w:b w:val="0"/>
                <w:sz w:val="16"/>
              </w:rPr>
              <w:t>Permisos y terceros</w:t>
            </w:r>
          </w:p>
        </w:tc>
        <w:tc>
          <w:tcPr>
            <w:tcW w:type="dxa" w:w="7200"/>
            <w:vAlign w:val="top"/>
          </w:tcPr>
          <w:p>
            <w:pPr>
              <w:spacing w:after="0" w:before="0"/>
              <w:jc w:val="left"/>
            </w:pPr>
            <w:r>
              <w:rPr>
                <w:rFonts w:ascii="Arial" w:hAnsi="Arial"/>
              </w:rPr>
            </w:r>
            <w:r>
              <w:rPr>
                <w:rFonts w:ascii="Arial" w:hAnsi="Arial"/>
                <w:b w:val="0"/>
                <w:sz w:val="16"/>
              </w:rPr>
              <w:t>Relación de autorizaciones de Cultura, Medio Ambiente, Fomento, Confederación Hidrográfica, Costas, ayuntamientos, propietarios y otros titulares.</w:t>
            </w:r>
          </w:p>
        </w:tc>
        <w:tc>
          <w:tcPr>
            <w:tcW w:type="dxa" w:w="2160"/>
            <w:vAlign w:val="top"/>
          </w:tcPr>
          <w:p>
            <w:pPr>
              <w:spacing w:after="0" w:before="0"/>
              <w:jc w:val="left"/>
            </w:pPr>
            <w:r>
              <w:rPr>
                <w:rFonts w:ascii="Arial" w:hAnsi="Arial"/>
              </w:rPr>
            </w:r>
            <w:r>
              <w:rPr>
                <w:rFonts w:ascii="Arial" w:hAnsi="Arial"/>
                <w:b w:val="0"/>
                <w:sz w:val="16"/>
              </w:rPr>
              <w:t>Quincenal en actuaciones críticas.</w:t>
            </w:r>
          </w:p>
        </w:tc>
      </w:tr>
      <w:tr>
        <w:trPr>
          <w:cantSplit/>
        </w:trPr>
        <w:tc>
          <w:tcPr>
            <w:tcW w:type="dxa" w:w="2592"/>
            <w:vAlign w:val="top"/>
          </w:tcPr>
          <w:p>
            <w:pPr>
              <w:spacing w:after="0" w:before="0"/>
              <w:jc w:val="left"/>
            </w:pPr>
            <w:r>
              <w:rPr>
                <w:rFonts w:ascii="Arial" w:hAnsi="Arial"/>
              </w:rPr>
            </w:r>
            <w:r>
              <w:rPr>
                <w:rFonts w:ascii="Arial" w:hAnsi="Arial"/>
                <w:b w:val="0"/>
                <w:sz w:val="16"/>
              </w:rPr>
              <w:t>Contratación</w:t>
            </w:r>
          </w:p>
        </w:tc>
        <w:tc>
          <w:tcPr>
            <w:tcW w:type="dxa" w:w="7200"/>
            <w:vAlign w:val="top"/>
          </w:tcPr>
          <w:p>
            <w:pPr>
              <w:spacing w:after="0" w:before="0"/>
              <w:jc w:val="left"/>
            </w:pPr>
            <w:r>
              <w:rPr>
                <w:rFonts w:ascii="Arial" w:hAnsi="Arial"/>
              </w:rPr>
            </w:r>
            <w:r>
              <w:rPr>
                <w:rFonts w:ascii="Arial" w:hAnsi="Arial"/>
                <w:b w:val="0"/>
                <w:sz w:val="16"/>
              </w:rPr>
              <w:t>PPT, PCAP, lotes, criterios de solvencia, publicación PCSP, adjudicación, formalización, modificaciones y recepción.</w:t>
            </w:r>
          </w:p>
        </w:tc>
        <w:tc>
          <w:tcPr>
            <w:tcW w:type="dxa" w:w="2160"/>
            <w:vAlign w:val="top"/>
          </w:tcPr>
          <w:p>
            <w:pPr>
              <w:spacing w:after="0" w:before="0"/>
              <w:jc w:val="left"/>
            </w:pPr>
            <w:r>
              <w:rPr>
                <w:rFonts w:ascii="Arial" w:hAnsi="Arial"/>
              </w:rPr>
            </w:r>
            <w:r>
              <w:rPr>
                <w:rFonts w:ascii="Arial" w:hAnsi="Arial"/>
                <w:b w:val="0"/>
                <w:sz w:val="16"/>
              </w:rPr>
              <w:t>Mensual.</w:t>
            </w:r>
          </w:p>
        </w:tc>
      </w:tr>
      <w:tr>
        <w:trPr>
          <w:cantSplit/>
        </w:trPr>
        <w:tc>
          <w:tcPr>
            <w:tcW w:type="dxa" w:w="2592"/>
            <w:vAlign w:val="top"/>
          </w:tcPr>
          <w:p>
            <w:pPr>
              <w:spacing w:after="0" w:before="0"/>
              <w:jc w:val="left"/>
            </w:pPr>
            <w:r>
              <w:rPr>
                <w:rFonts w:ascii="Arial" w:hAnsi="Arial"/>
              </w:rPr>
            </w:r>
            <w:r>
              <w:rPr>
                <w:rFonts w:ascii="Arial" w:hAnsi="Arial"/>
                <w:b w:val="0"/>
                <w:sz w:val="16"/>
              </w:rPr>
              <w:t>Comunicación</w:t>
            </w:r>
          </w:p>
        </w:tc>
        <w:tc>
          <w:tcPr>
            <w:tcW w:type="dxa" w:w="7200"/>
            <w:vAlign w:val="top"/>
          </w:tcPr>
          <w:p>
            <w:pPr>
              <w:spacing w:after="0" w:before="0"/>
              <w:jc w:val="left"/>
            </w:pPr>
            <w:r>
              <w:rPr>
                <w:rFonts w:ascii="Arial" w:hAnsi="Arial"/>
              </w:rPr>
            </w:r>
            <w:r>
              <w:rPr>
                <w:rFonts w:ascii="Arial" w:hAnsi="Arial"/>
                <w:b w:val="0"/>
                <w:sz w:val="16"/>
              </w:rPr>
              <w:t>Responsable, INFOCO, cartelería, web, redes, notas, operación destacada, dossier anual y evidencias.</w:t>
            </w:r>
          </w:p>
        </w:tc>
        <w:tc>
          <w:tcPr>
            <w:tcW w:type="dxa" w:w="2160"/>
            <w:vAlign w:val="top"/>
          </w:tcPr>
          <w:p>
            <w:pPr>
              <w:spacing w:after="0" w:before="0"/>
              <w:jc w:val="left"/>
            </w:pPr>
            <w:r>
              <w:rPr>
                <w:rFonts w:ascii="Arial" w:hAnsi="Arial"/>
              </w:rPr>
            </w:r>
            <w:r>
              <w:rPr>
                <w:rFonts w:ascii="Arial" w:hAnsi="Arial"/>
                <w:b w:val="0"/>
                <w:sz w:val="16"/>
              </w:rPr>
              <w:t>Mensual.</w:t>
            </w:r>
          </w:p>
        </w:tc>
      </w:tr>
      <w:tr>
        <w:trPr>
          <w:cantSplit/>
        </w:trPr>
        <w:tc>
          <w:tcPr>
            <w:tcW w:type="dxa" w:w="2592"/>
            <w:vAlign w:val="top"/>
          </w:tcPr>
          <w:p>
            <w:pPr>
              <w:spacing w:after="0" w:before="0"/>
              <w:jc w:val="left"/>
            </w:pPr>
            <w:r>
              <w:rPr>
                <w:rFonts w:ascii="Arial" w:hAnsi="Arial"/>
              </w:rPr>
            </w:r>
            <w:r>
              <w:rPr>
                <w:rFonts w:ascii="Arial" w:hAnsi="Arial"/>
                <w:b w:val="0"/>
                <w:sz w:val="16"/>
              </w:rPr>
              <w:t>Tecnología</w:t>
            </w:r>
          </w:p>
        </w:tc>
        <w:tc>
          <w:tcPr>
            <w:tcW w:type="dxa" w:w="7200"/>
            <w:vAlign w:val="top"/>
          </w:tcPr>
          <w:p>
            <w:pPr>
              <w:spacing w:after="0" w:before="0"/>
              <w:jc w:val="left"/>
            </w:pPr>
            <w:r>
              <w:rPr>
                <w:rFonts w:ascii="Arial" w:hAnsi="Arial"/>
              </w:rPr>
            </w:r>
            <w:r>
              <w:rPr>
                <w:rFonts w:ascii="Arial" w:hAnsi="Arial"/>
                <w:b w:val="0"/>
                <w:sz w:val="16"/>
              </w:rPr>
              <w:t>Arquitectura, interoperabilidad, ciberseguridad, protección de datos, mantenimiento, soporte, propiedad intelectual y reversibilidad.</w:t>
            </w:r>
          </w:p>
        </w:tc>
        <w:tc>
          <w:tcPr>
            <w:tcW w:type="dxa" w:w="2160"/>
            <w:vAlign w:val="top"/>
          </w:tcPr>
          <w:p>
            <w:pPr>
              <w:spacing w:after="0" w:before="0"/>
              <w:jc w:val="left"/>
            </w:pPr>
            <w:r>
              <w:rPr>
                <w:rFonts w:ascii="Arial" w:hAnsi="Arial"/>
              </w:rPr>
            </w:r>
            <w:r>
              <w:rPr>
                <w:rFonts w:ascii="Arial" w:hAnsi="Arial"/>
                <w:b w:val="0"/>
                <w:sz w:val="16"/>
              </w:rPr>
              <w:t>Antes de licitar y durante ejecución.</w:t>
            </w:r>
          </w:p>
        </w:tc>
      </w:tr>
      <w:tr>
        <w:trPr>
          <w:cantSplit/>
        </w:trPr>
        <w:tc>
          <w:tcPr>
            <w:tcW w:type="dxa" w:w="2592"/>
            <w:vAlign w:val="top"/>
          </w:tcPr>
          <w:p>
            <w:pPr>
              <w:spacing w:after="0" w:before="0"/>
              <w:jc w:val="left"/>
            </w:pPr>
            <w:r>
              <w:rPr>
                <w:rFonts w:ascii="Arial" w:hAnsi="Arial"/>
              </w:rPr>
            </w:r>
            <w:r>
              <w:rPr>
                <w:rFonts w:ascii="Arial" w:hAnsi="Arial"/>
                <w:b w:val="0"/>
                <w:sz w:val="16"/>
              </w:rPr>
              <w:t>Pista de auditoría</w:t>
            </w:r>
          </w:p>
        </w:tc>
        <w:tc>
          <w:tcPr>
            <w:tcW w:type="dxa" w:w="7200"/>
            <w:vAlign w:val="top"/>
          </w:tcPr>
          <w:p>
            <w:pPr>
              <w:spacing w:after="0" w:before="0"/>
              <w:jc w:val="left"/>
            </w:pPr>
            <w:r>
              <w:rPr>
                <w:rFonts w:ascii="Arial" w:hAnsi="Arial"/>
              </w:rPr>
            </w:r>
            <w:r>
              <w:rPr>
                <w:rFonts w:ascii="Arial" w:hAnsi="Arial"/>
                <w:b w:val="0"/>
                <w:sz w:val="16"/>
              </w:rPr>
              <w:t>Índice documental por operación, contrato, factura, pago, certificación, acto administrativo y evidencia.</w:t>
            </w:r>
          </w:p>
        </w:tc>
        <w:tc>
          <w:tcPr>
            <w:tcW w:type="dxa" w:w="2160"/>
            <w:vAlign w:val="top"/>
          </w:tcPr>
          <w:p>
            <w:pPr>
              <w:spacing w:after="0" w:before="0"/>
              <w:jc w:val="left"/>
            </w:pPr>
            <w:r>
              <w:rPr>
                <w:rFonts w:ascii="Arial" w:hAnsi="Arial"/>
              </w:rPr>
            </w:r>
            <w:r>
              <w:rPr>
                <w:rFonts w:ascii="Arial" w:hAnsi="Arial"/>
                <w:b w:val="0"/>
                <w:sz w:val="16"/>
              </w:rPr>
              <w:t>Continuo.</w:t>
            </w:r>
          </w:p>
        </w:tc>
      </w:tr>
    </w:tbl>
    <w:p/>
    <w:p>
      <w:pPr>
        <w:pStyle w:val="Heading1"/>
      </w:pPr>
      <w:r>
        <w:t>5. PAI Genil, Conectando el Poniente</w:t>
      </w:r>
    </w:p>
    <w:p>
      <w:pPr>
        <w:pStyle w:val="Small"/>
      </w:pPr>
      <w:r>
        <w:rPr>
          <w:b/>
        </w:rPr>
        <w:t xml:space="preserve">Fuente revisada: </w:t>
      </w:r>
      <w:r>
        <w:t>ANEXO-3_PAI-GENIL-CONECTANDO-EL-PONIENTE-sin-logo-consultora.pdf.</w:t>
      </w:r>
    </w:p>
    <w:p>
      <w:r>
        <w:t>Ámbito formado por Huétor Tájar, Láchar, Loja, Moraleda de Zafayona, Salar y Villanueva Mesía. El PAI se articula en cuatro líneas y proyectos vinculados a destino turístico sostenible, naturalización de espacios fluviales, desarrollo económico local y habitabilidad/confort urbano. La memoria declara una planificación de certificación del 20 % en el primer trimestre de 2027, 30 % en el cuarto trimestre de 2027, 50 % en el cuarto trimestre de 2028 y 100 % en el cuarto trimestre de 2029.</w:t>
      </w:r>
    </w:p>
    <w:p>
      <w:r>
        <w:rPr>
          <w:b/>
        </w:rPr>
        <w:t xml:space="preserve">Valoración Vanguardia.Tech: </w:t>
      </w:r>
      <w:r>
        <w:t xml:space="preserve">Diagnóstico general de riesgo: </w:t>
      </w:r>
      <w:r>
        <w:t>Riesgo medio-alto. El PAI está bien estructurado y declara planificación compatible con el hito 2027, pero contiene actuaciones digitales y de infraestructura con madurez desigual. La red wifi y el Plan Smart Cities requieren intervención técnica temprana.</w:t>
      </w:r>
    </w:p>
    <w:p>
      <w:pPr>
        <w:pStyle w:val="Heading2"/>
      </w:pPr>
      <w:r>
        <w:t>Cumplimientos documentales identificados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168"/>
            <w:shd w:fill="1F4E79"/>
            <w:vAlign w:val="center"/>
          </w:tcPr>
          <w:p>
            <w:pPr>
              <w:spacing w:after="0" w:before="0"/>
              <w:jc w:val="left"/>
            </w:pPr>
            <w:r>
              <w:rPr>
                <w:rFonts w:ascii="Arial" w:hAnsi="Arial"/>
              </w:rPr>
            </w:r>
            <w:r>
              <w:rPr>
                <w:rFonts w:ascii="Arial" w:hAnsi="Arial"/>
                <w:b/>
                <w:color w:val="FFFFFF"/>
                <w:sz w:val="16"/>
              </w:rPr>
              <w:t>Elemento exigido o valorable</w:t>
            </w:r>
          </w:p>
        </w:tc>
        <w:tc>
          <w:tcPr>
            <w:tcW w:type="dxa" w:w="6192"/>
            <w:shd w:fill="1F4E79"/>
            <w:vAlign w:val="center"/>
          </w:tcPr>
          <w:p>
            <w:pPr>
              <w:spacing w:after="0" w:before="0"/>
              <w:jc w:val="left"/>
            </w:pPr>
            <w:r>
              <w:rPr>
                <w:rFonts w:ascii="Arial" w:hAnsi="Arial"/>
              </w:rPr>
            </w:r>
            <w:r>
              <w:rPr>
                <w:rFonts w:ascii="Arial" w:hAnsi="Arial"/>
                <w:b/>
                <w:color w:val="FFFFFF"/>
                <w:sz w:val="16"/>
              </w:rPr>
              <w:t>Evidencia en la memoria revisada</w:t>
            </w:r>
          </w:p>
        </w:tc>
        <w:tc>
          <w:tcPr>
            <w:tcW w:type="dxa" w:w="2592"/>
            <w:shd w:fill="1F4E79"/>
            <w:vAlign w:val="center"/>
          </w:tcPr>
          <w:p>
            <w:pPr>
              <w:spacing w:after="0" w:before="0"/>
              <w:jc w:val="left"/>
            </w:pPr>
            <w:r>
              <w:rPr>
                <w:rFonts w:ascii="Arial" w:hAnsi="Arial"/>
              </w:rPr>
            </w:r>
            <w:r>
              <w:rPr>
                <w:rFonts w:ascii="Arial" w:hAnsi="Arial"/>
                <w:b/>
                <w:color w:val="FFFFFF"/>
                <w:sz w:val="16"/>
              </w:rPr>
              <w:t>Valoración</w:t>
            </w:r>
          </w:p>
        </w:tc>
      </w:tr>
      <w:tr>
        <w:trPr>
          <w:cantSplit/>
        </w:trPr>
        <w:tc>
          <w:tcPr>
            <w:tcW w:type="dxa" w:w="3168"/>
            <w:vAlign w:val="top"/>
          </w:tcPr>
          <w:p>
            <w:pPr>
              <w:spacing w:after="0" w:before="0"/>
              <w:jc w:val="left"/>
            </w:pPr>
            <w:r>
              <w:rPr>
                <w:rFonts w:ascii="Arial" w:hAnsi="Arial"/>
              </w:rPr>
            </w:r>
            <w:r>
              <w:rPr>
                <w:rFonts w:ascii="Arial" w:hAnsi="Arial"/>
                <w:b w:val="0"/>
                <w:sz w:val="16"/>
              </w:rPr>
              <w:t>Alineación EDIL y AUE</w:t>
            </w:r>
          </w:p>
        </w:tc>
        <w:tc>
          <w:tcPr>
            <w:tcW w:type="dxa" w:w="6192"/>
            <w:vAlign w:val="top"/>
          </w:tcPr>
          <w:p>
            <w:pPr>
              <w:spacing w:after="0" w:before="0"/>
              <w:jc w:val="left"/>
            </w:pPr>
            <w:r>
              <w:rPr>
                <w:rFonts w:ascii="Arial" w:hAnsi="Arial"/>
              </w:rPr>
            </w:r>
            <w:r>
              <w:rPr>
                <w:rFonts w:ascii="Arial" w:hAnsi="Arial"/>
                <w:b w:val="0"/>
                <w:sz w:val="16"/>
              </w:rPr>
              <w:t>Parte de la Agenda Urbana Ribera Baja del Genil 2022, actualizada en 2024, y cruza retos locales y globales con cuatro líneas de actuación.</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Aprobación institucional</w:t>
            </w:r>
          </w:p>
        </w:tc>
        <w:tc>
          <w:tcPr>
            <w:tcW w:type="dxa" w:w="6192"/>
            <w:vAlign w:val="top"/>
          </w:tcPr>
          <w:p>
            <w:pPr>
              <w:spacing w:after="0" w:before="0"/>
              <w:jc w:val="left"/>
            </w:pPr>
            <w:r>
              <w:rPr>
                <w:rFonts w:ascii="Arial" w:hAnsi="Arial"/>
              </w:rPr>
            </w:r>
            <w:r>
              <w:rPr>
                <w:rFonts w:ascii="Arial" w:hAnsi="Arial"/>
                <w:b w:val="0"/>
                <w:sz w:val="16"/>
              </w:rPr>
              <w:t>Consta aprobación por los órganos competentes de todos los municipios del área funcional y por la Junta de Gobierno de Diputación el 17/02/2025.</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Gobernanza OIL</w:t>
            </w:r>
          </w:p>
        </w:tc>
        <w:tc>
          <w:tcPr>
            <w:tcW w:type="dxa" w:w="6192"/>
            <w:vAlign w:val="top"/>
          </w:tcPr>
          <w:p>
            <w:pPr>
              <w:spacing w:after="0" w:before="0"/>
              <w:jc w:val="left"/>
            </w:pPr>
            <w:r>
              <w:rPr>
                <w:rFonts w:ascii="Arial" w:hAnsi="Arial"/>
              </w:rPr>
            </w:r>
            <w:r>
              <w:rPr>
                <w:rFonts w:ascii="Arial" w:hAnsi="Arial"/>
                <w:b w:val="0"/>
                <w:sz w:val="16"/>
              </w:rPr>
              <w:t>Prevé Unidad de Gestión, Unidades Ejecutoras, coordinación, seguimiento, participación, información y publicidad y declaración de gasto.</w:t>
            </w:r>
          </w:p>
        </w:tc>
        <w:tc>
          <w:tcPr>
            <w:tcW w:type="dxa" w:w="2592"/>
            <w:vAlign w:val="top"/>
          </w:tcPr>
          <w:p>
            <w:pPr>
              <w:spacing w:after="0" w:before="0"/>
              <w:jc w:val="left"/>
            </w:pPr>
            <w:r>
              <w:rPr>
                <w:rFonts w:ascii="Arial" w:hAnsi="Arial"/>
              </w:rPr>
            </w:r>
            <w:r>
              <w:rPr>
                <w:rFonts w:ascii="Arial" w:hAnsi="Arial"/>
                <w:b w:val="0"/>
                <w:sz w:val="16"/>
              </w:rPr>
              <w:t>Cumplido en diseño.</w:t>
            </w:r>
          </w:p>
        </w:tc>
      </w:tr>
      <w:tr>
        <w:trPr>
          <w:cantSplit/>
        </w:trPr>
        <w:tc>
          <w:tcPr>
            <w:tcW w:type="dxa" w:w="3168"/>
            <w:vAlign w:val="top"/>
          </w:tcPr>
          <w:p>
            <w:pPr>
              <w:spacing w:after="0" w:before="0"/>
              <w:jc w:val="left"/>
            </w:pPr>
            <w:r>
              <w:rPr>
                <w:rFonts w:ascii="Arial" w:hAnsi="Arial"/>
              </w:rPr>
            </w:r>
            <w:r>
              <w:rPr>
                <w:rFonts w:ascii="Arial" w:hAnsi="Arial"/>
                <w:b w:val="0"/>
                <w:sz w:val="16"/>
              </w:rPr>
              <w:t>Complementariedad y no solapamiento</w:t>
            </w:r>
          </w:p>
        </w:tc>
        <w:tc>
          <w:tcPr>
            <w:tcW w:type="dxa" w:w="6192"/>
            <w:vAlign w:val="top"/>
          </w:tcPr>
          <w:p>
            <w:pPr>
              <w:spacing w:after="0" w:before="0"/>
              <w:jc w:val="left"/>
            </w:pPr>
            <w:r>
              <w:rPr>
                <w:rFonts w:ascii="Arial" w:hAnsi="Arial"/>
              </w:rPr>
            </w:r>
            <w:r>
              <w:rPr>
                <w:rFonts w:ascii="Arial" w:hAnsi="Arial"/>
                <w:b w:val="0"/>
                <w:sz w:val="16"/>
              </w:rPr>
              <w:t>Diferencia el PAI supramunicipal del PAI de Loja, evitando solapamiento territorial y funcional.</w:t>
            </w:r>
          </w:p>
        </w:tc>
        <w:tc>
          <w:tcPr>
            <w:tcW w:type="dxa" w:w="2592"/>
            <w:vAlign w:val="top"/>
          </w:tcPr>
          <w:p>
            <w:pPr>
              <w:spacing w:after="0" w:before="0"/>
              <w:jc w:val="left"/>
            </w:pPr>
            <w:r>
              <w:rPr>
                <w:rFonts w:ascii="Arial" w:hAnsi="Arial"/>
              </w:rPr>
            </w:r>
            <w:r>
              <w:rPr>
                <w:rFonts w:ascii="Arial" w:hAnsi="Arial"/>
                <w:b w:val="0"/>
                <w:sz w:val="16"/>
              </w:rPr>
              <w:t>Punto fuerte.</w:t>
            </w:r>
          </w:p>
        </w:tc>
      </w:tr>
      <w:tr>
        <w:trPr>
          <w:cantSplit/>
        </w:trPr>
        <w:tc>
          <w:tcPr>
            <w:tcW w:type="dxa" w:w="3168"/>
            <w:vAlign w:val="top"/>
          </w:tcPr>
          <w:p>
            <w:pPr>
              <w:spacing w:after="0" w:before="0"/>
              <w:jc w:val="left"/>
            </w:pPr>
            <w:r>
              <w:rPr>
                <w:rFonts w:ascii="Arial" w:hAnsi="Arial"/>
              </w:rPr>
            </w:r>
            <w:r>
              <w:rPr>
                <w:rFonts w:ascii="Arial" w:hAnsi="Arial"/>
                <w:b w:val="0"/>
                <w:sz w:val="16"/>
              </w:rPr>
              <w:t>Planificación financiera</w:t>
            </w:r>
          </w:p>
        </w:tc>
        <w:tc>
          <w:tcPr>
            <w:tcW w:type="dxa" w:w="6192"/>
            <w:vAlign w:val="top"/>
          </w:tcPr>
          <w:p>
            <w:pPr>
              <w:spacing w:after="0" w:before="0"/>
              <w:jc w:val="left"/>
            </w:pPr>
            <w:r>
              <w:rPr>
                <w:rFonts w:ascii="Arial" w:hAnsi="Arial"/>
              </w:rPr>
            </w:r>
            <w:r>
              <w:rPr>
                <w:rFonts w:ascii="Arial" w:hAnsi="Arial"/>
                <w:b w:val="0"/>
                <w:sz w:val="16"/>
              </w:rPr>
              <w:t>Declara senda de certificación hasta 2029 y objetivo de 20 % en 1T 2027.</w:t>
            </w:r>
          </w:p>
        </w:tc>
        <w:tc>
          <w:tcPr>
            <w:tcW w:type="dxa" w:w="2592"/>
            <w:vAlign w:val="top"/>
          </w:tcPr>
          <w:p>
            <w:pPr>
              <w:spacing w:after="0" w:before="0"/>
              <w:jc w:val="left"/>
            </w:pPr>
            <w:r>
              <w:rPr>
                <w:rFonts w:ascii="Arial" w:hAnsi="Arial"/>
              </w:rPr>
            </w:r>
            <w:r>
              <w:rPr>
                <w:rFonts w:ascii="Arial" w:hAnsi="Arial"/>
                <w:b w:val="0"/>
                <w:sz w:val="16"/>
              </w:rPr>
              <w:t>Debe verificarse con operaciones seleccionadas.</w:t>
            </w:r>
          </w:p>
        </w:tc>
      </w:tr>
      <w:tr>
        <w:trPr>
          <w:cantSplit/>
        </w:trPr>
        <w:tc>
          <w:tcPr>
            <w:tcW w:type="dxa" w:w="3168"/>
            <w:vAlign w:val="top"/>
          </w:tcPr>
          <w:p>
            <w:pPr>
              <w:spacing w:after="0" w:before="0"/>
              <w:jc w:val="left"/>
            </w:pPr>
            <w:r>
              <w:rPr>
                <w:rFonts w:ascii="Arial" w:hAnsi="Arial"/>
              </w:rPr>
            </w:r>
            <w:r>
              <w:rPr>
                <w:rFonts w:ascii="Arial" w:hAnsi="Arial"/>
                <w:b w:val="0"/>
                <w:sz w:val="16"/>
              </w:rPr>
              <w:t>Innovación tecnológica</w:t>
            </w:r>
          </w:p>
        </w:tc>
        <w:tc>
          <w:tcPr>
            <w:tcW w:type="dxa" w:w="6192"/>
            <w:vAlign w:val="top"/>
          </w:tcPr>
          <w:p>
            <w:pPr>
              <w:spacing w:after="0" w:before="0"/>
              <w:jc w:val="left"/>
            </w:pPr>
            <w:r>
              <w:rPr>
                <w:rFonts w:ascii="Arial" w:hAnsi="Arial"/>
              </w:rPr>
            </w:r>
            <w:r>
              <w:rPr>
                <w:rFonts w:ascii="Arial" w:hAnsi="Arial"/>
                <w:b w:val="0"/>
                <w:sz w:val="16"/>
              </w:rPr>
              <w:t>Incluye red de wifi público, Plan Smart Cities, sensórica, gestión de agua, residuos, energía, iluminación y tótems digitales.</w:t>
            </w:r>
          </w:p>
        </w:tc>
        <w:tc>
          <w:tcPr>
            <w:tcW w:type="dxa" w:w="2592"/>
            <w:vAlign w:val="top"/>
          </w:tcPr>
          <w:p>
            <w:pPr>
              <w:spacing w:after="0" w:before="0"/>
              <w:jc w:val="left"/>
            </w:pPr>
            <w:r>
              <w:rPr>
                <w:rFonts w:ascii="Arial" w:hAnsi="Arial"/>
              </w:rPr>
            </w:r>
            <w:r>
              <w:rPr>
                <w:rFonts w:ascii="Arial" w:hAnsi="Arial"/>
                <w:b w:val="0"/>
                <w:sz w:val="16"/>
              </w:rPr>
              <w:t>Relevante, requiere control técnico.</w:t>
            </w:r>
          </w:p>
        </w:tc>
      </w:tr>
    </w:tbl>
    <w:p/>
    <w:p>
      <w:pPr>
        <w:pStyle w:val="Heading2"/>
      </w:pPr>
      <w:r>
        <w:t>Incidencias, vacíos y urgencia de corrección</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shd w:fill="1F4E79"/>
            <w:vAlign w:val="center"/>
          </w:tcPr>
          <w:p>
            <w:pPr>
              <w:spacing w:after="0" w:before="0"/>
              <w:jc w:val="left"/>
            </w:pPr>
            <w:r>
              <w:rPr>
                <w:rFonts w:ascii="Arial" w:hAnsi="Arial"/>
              </w:rPr>
            </w:r>
            <w:r>
              <w:rPr>
                <w:rFonts w:ascii="Arial" w:hAnsi="Arial"/>
                <w:b/>
                <w:color w:val="FFFFFF"/>
                <w:sz w:val="16"/>
              </w:rPr>
              <w:t>Ámbito revisado</w:t>
            </w:r>
          </w:p>
        </w:tc>
        <w:tc>
          <w:tcPr>
            <w:tcW w:type="dxa" w:w="3744"/>
            <w:shd w:fill="1F4E79"/>
            <w:vAlign w:val="center"/>
          </w:tcPr>
          <w:p>
            <w:pPr>
              <w:spacing w:after="0" w:before="0"/>
              <w:jc w:val="left"/>
            </w:pPr>
            <w:r>
              <w:rPr>
                <w:rFonts w:ascii="Arial" w:hAnsi="Arial"/>
              </w:rPr>
            </w:r>
            <w:r>
              <w:rPr>
                <w:rFonts w:ascii="Arial" w:hAnsi="Arial"/>
                <w:b/>
                <w:color w:val="FFFFFF"/>
                <w:sz w:val="16"/>
              </w:rPr>
              <w:t>Estado según memorias</w:t>
            </w:r>
          </w:p>
        </w:tc>
        <w:tc>
          <w:tcPr>
            <w:tcW w:type="dxa" w:w="4031"/>
            <w:shd w:fill="1F4E79"/>
            <w:vAlign w:val="center"/>
          </w:tcPr>
          <w:p>
            <w:pPr>
              <w:spacing w:after="0" w:before="0"/>
              <w:jc w:val="left"/>
            </w:pPr>
            <w:r>
              <w:rPr>
                <w:rFonts w:ascii="Arial" w:hAnsi="Arial"/>
              </w:rPr>
            </w:r>
            <w:r>
              <w:rPr>
                <w:rFonts w:ascii="Arial" w:hAnsi="Arial"/>
                <w:b/>
                <w:color w:val="FFFFFF"/>
                <w:sz w:val="16"/>
              </w:rPr>
              <w:t>Riesgo principal</w:t>
            </w:r>
          </w:p>
        </w:tc>
        <w:tc>
          <w:tcPr>
            <w:tcW w:type="dxa" w:w="1584"/>
            <w:shd w:fill="1F4E79"/>
            <w:vAlign w:val="center"/>
          </w:tcPr>
          <w:p>
            <w:pPr>
              <w:spacing w:after="0" w:before="0"/>
              <w:jc w:val="left"/>
            </w:pPr>
            <w:r>
              <w:rPr>
                <w:rFonts w:ascii="Arial" w:hAnsi="Arial"/>
              </w:rPr>
            </w:r>
            <w:r>
              <w:rPr>
                <w:rFonts w:ascii="Arial" w:hAnsi="Arial"/>
                <w:b/>
                <w:color w:val="FFFFFF"/>
                <w:sz w:val="16"/>
              </w:rPr>
              <w:t>Urgencia</w:t>
            </w:r>
          </w:p>
        </w:tc>
      </w:tr>
      <w:tr>
        <w:trPr>
          <w:cantSplit/>
        </w:trPr>
        <w:tc>
          <w:tcPr>
            <w:tcW w:type="dxa" w:w="2592"/>
            <w:vAlign w:val="top"/>
          </w:tcPr>
          <w:p>
            <w:pPr>
              <w:spacing w:after="0" w:before="0"/>
              <w:jc w:val="left"/>
            </w:pPr>
            <w:r>
              <w:rPr>
                <w:rFonts w:ascii="Arial" w:hAnsi="Arial"/>
              </w:rPr>
            </w:r>
            <w:r>
              <w:rPr>
                <w:rFonts w:ascii="Arial" w:hAnsi="Arial"/>
                <w:b w:val="0"/>
                <w:sz w:val="16"/>
              </w:rPr>
              <w:t>Selección de operaciones</w:t>
            </w:r>
          </w:p>
        </w:tc>
        <w:tc>
          <w:tcPr>
            <w:tcW w:type="dxa" w:w="3744"/>
            <w:vAlign w:val="top"/>
          </w:tcPr>
          <w:p>
            <w:pPr>
              <w:spacing w:after="0" w:before="0"/>
              <w:jc w:val="left"/>
            </w:pPr>
            <w:r>
              <w:rPr>
                <w:rFonts w:ascii="Arial" w:hAnsi="Arial"/>
              </w:rPr>
            </w:r>
            <w:r>
              <w:rPr>
                <w:rFonts w:ascii="Arial" w:hAnsi="Arial"/>
                <w:b w:val="0"/>
                <w:sz w:val="16"/>
              </w:rPr>
              <w:t>La memoria contiene actuaciones, pero debe acreditarse la selección formal por operación.</w:t>
            </w:r>
          </w:p>
        </w:tc>
        <w:tc>
          <w:tcPr>
            <w:tcW w:type="dxa" w:w="4031"/>
            <w:vAlign w:val="top"/>
          </w:tcPr>
          <w:p>
            <w:pPr>
              <w:spacing w:after="0" w:before="0"/>
              <w:jc w:val="left"/>
            </w:pPr>
            <w:r>
              <w:rPr>
                <w:rFonts w:ascii="Arial" w:hAnsi="Arial"/>
              </w:rPr>
            </w:r>
            <w:r>
              <w:rPr>
                <w:rFonts w:ascii="Arial" w:hAnsi="Arial"/>
                <w:b w:val="0"/>
                <w:sz w:val="16"/>
              </w:rPr>
              <w:t>Si no se selecciona el 70 % antes de 31/03/2027, riesgo de reprogramación.</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LA15 Red wifi público</w:t>
            </w:r>
          </w:p>
        </w:tc>
        <w:tc>
          <w:tcPr>
            <w:tcW w:type="dxa" w:w="3744"/>
            <w:vAlign w:val="top"/>
          </w:tcPr>
          <w:p>
            <w:pPr>
              <w:spacing w:after="0" w:before="0"/>
              <w:jc w:val="left"/>
            </w:pPr>
            <w:r>
              <w:rPr>
                <w:rFonts w:ascii="Arial" w:hAnsi="Arial"/>
              </w:rPr>
            </w:r>
            <w:r>
              <w:rPr>
                <w:rFonts w:ascii="Arial" w:hAnsi="Arial"/>
                <w:b w:val="0"/>
                <w:sz w:val="16"/>
              </w:rPr>
              <w:t>La propia memoria califica la madurez como baja.</w:t>
            </w:r>
          </w:p>
        </w:tc>
        <w:tc>
          <w:tcPr>
            <w:tcW w:type="dxa" w:w="4031"/>
            <w:vAlign w:val="top"/>
          </w:tcPr>
          <w:p>
            <w:pPr>
              <w:spacing w:after="0" w:before="0"/>
              <w:jc w:val="left"/>
            </w:pPr>
            <w:r>
              <w:rPr>
                <w:rFonts w:ascii="Arial" w:hAnsi="Arial"/>
              </w:rPr>
            </w:r>
            <w:r>
              <w:rPr>
                <w:rFonts w:ascii="Arial" w:hAnsi="Arial"/>
                <w:b w:val="0"/>
                <w:sz w:val="16"/>
              </w:rPr>
              <w:t>Necesita estudio de ubicaciones, titularidades, permisos, diseño técnico, mantenimiento y tratamiento de datos.</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LA16 Plan Smart Cities</w:t>
            </w:r>
          </w:p>
        </w:tc>
        <w:tc>
          <w:tcPr>
            <w:tcW w:type="dxa" w:w="3744"/>
            <w:vAlign w:val="top"/>
          </w:tcPr>
          <w:p>
            <w:pPr>
              <w:spacing w:after="0" w:before="0"/>
              <w:jc w:val="left"/>
            </w:pPr>
            <w:r>
              <w:rPr>
                <w:rFonts w:ascii="Arial" w:hAnsi="Arial"/>
              </w:rPr>
            </w:r>
            <w:r>
              <w:rPr>
                <w:rFonts w:ascii="Arial" w:hAnsi="Arial"/>
                <w:b w:val="0"/>
                <w:sz w:val="16"/>
              </w:rPr>
              <w:t>Madurez media y concurso público previsto.</w:t>
            </w:r>
          </w:p>
        </w:tc>
        <w:tc>
          <w:tcPr>
            <w:tcW w:type="dxa" w:w="4031"/>
            <w:vAlign w:val="top"/>
          </w:tcPr>
          <w:p>
            <w:pPr>
              <w:spacing w:after="0" w:before="0"/>
              <w:jc w:val="left"/>
            </w:pPr>
            <w:r>
              <w:rPr>
                <w:rFonts w:ascii="Arial" w:hAnsi="Arial"/>
              </w:rPr>
            </w:r>
            <w:r>
              <w:rPr>
                <w:rFonts w:ascii="Arial" w:hAnsi="Arial"/>
                <w:b w:val="0"/>
                <w:sz w:val="16"/>
              </w:rPr>
              <w:t>Riesgo de pliegos genéricos sin arquitectura, interoperabilidad, ciberseguridad ni indicadores medibles.</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Aparcamientos y accesibilidad</w:t>
            </w:r>
          </w:p>
        </w:tc>
        <w:tc>
          <w:tcPr>
            <w:tcW w:type="dxa" w:w="3744"/>
            <w:vAlign w:val="top"/>
          </w:tcPr>
          <w:p>
            <w:pPr>
              <w:spacing w:after="0" w:before="0"/>
              <w:jc w:val="left"/>
            </w:pPr>
            <w:r>
              <w:rPr>
                <w:rFonts w:ascii="Arial" w:hAnsi="Arial"/>
              </w:rPr>
            </w:r>
            <w:r>
              <w:rPr>
                <w:rFonts w:ascii="Arial" w:hAnsi="Arial"/>
                <w:b w:val="0"/>
                <w:sz w:val="16"/>
              </w:rPr>
              <w:t>Varias actuaciones dependen de terrenos públicos o cesiones temporales.</w:t>
            </w:r>
          </w:p>
        </w:tc>
        <w:tc>
          <w:tcPr>
            <w:tcW w:type="dxa" w:w="4031"/>
            <w:vAlign w:val="top"/>
          </w:tcPr>
          <w:p>
            <w:pPr>
              <w:spacing w:after="0" w:before="0"/>
              <w:jc w:val="left"/>
            </w:pPr>
            <w:r>
              <w:rPr>
                <w:rFonts w:ascii="Arial" w:hAnsi="Arial"/>
              </w:rPr>
            </w:r>
            <w:r>
              <w:rPr>
                <w:rFonts w:ascii="Arial" w:hAnsi="Arial"/>
                <w:b w:val="0"/>
                <w:sz w:val="16"/>
              </w:rPr>
              <w:t>Acreditar disponibilidad de suelo y acuerdos antes de licitar.</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No solapamiento con Loja</w:t>
            </w:r>
          </w:p>
        </w:tc>
        <w:tc>
          <w:tcPr>
            <w:tcW w:type="dxa" w:w="3744"/>
            <w:vAlign w:val="top"/>
          </w:tcPr>
          <w:p>
            <w:pPr>
              <w:spacing w:after="0" w:before="0"/>
              <w:jc w:val="left"/>
            </w:pPr>
            <w:r>
              <w:rPr>
                <w:rFonts w:ascii="Arial" w:hAnsi="Arial"/>
              </w:rPr>
            </w:r>
            <w:r>
              <w:rPr>
                <w:rFonts w:ascii="Arial" w:hAnsi="Arial"/>
                <w:b w:val="0"/>
                <w:sz w:val="16"/>
              </w:rPr>
              <w:t>La memoria lo argumenta, pero debe mantenerse durante modificaciones y ejecución.</w:t>
            </w:r>
          </w:p>
        </w:tc>
        <w:tc>
          <w:tcPr>
            <w:tcW w:type="dxa" w:w="4031"/>
            <w:vAlign w:val="top"/>
          </w:tcPr>
          <w:p>
            <w:pPr>
              <w:spacing w:after="0" w:before="0"/>
              <w:jc w:val="left"/>
            </w:pPr>
            <w:r>
              <w:rPr>
                <w:rFonts w:ascii="Arial" w:hAnsi="Arial"/>
              </w:rPr>
            </w:r>
            <w:r>
              <w:rPr>
                <w:rFonts w:ascii="Arial" w:hAnsi="Arial"/>
                <w:b w:val="0"/>
                <w:sz w:val="16"/>
              </w:rPr>
              <w:t>Cualquier cambio debe conservar la diferenciación funcional y territorial.</w:t>
            </w:r>
          </w:p>
        </w:tc>
        <w:tc>
          <w:tcPr>
            <w:tcW w:type="dxa" w:w="1584"/>
            <w:vAlign w:val="top"/>
            <w:shd w:fill="FFD966"/>
          </w:tcPr>
          <w:p>
            <w:pPr>
              <w:spacing w:after="0" w:before="0"/>
              <w:jc w:val="left"/>
            </w:pPr>
            <w:r>
              <w:rPr>
                <w:rFonts w:ascii="Arial" w:hAnsi="Arial"/>
              </w:rPr>
            </w:r>
            <w:r>
              <w:rPr>
                <w:rFonts w:ascii="Arial" w:hAnsi="Arial"/>
                <w:b w:val="0"/>
                <w:sz w:val="16"/>
              </w:rPr>
              <w:t>MEDIA</w:t>
            </w:r>
          </w:p>
        </w:tc>
      </w:tr>
    </w:tbl>
    <w:p/>
    <w:p>
      <w:pPr>
        <w:pStyle w:val="Heading2"/>
      </w:pPr>
      <w:r>
        <w:t>Recomendaciones de mejora y control</w:t>
      </w:r>
    </w:p>
    <w:p>
      <w:pPr>
        <w:pStyle w:val="ListBullet"/>
      </w:pPr>
      <w:r>
        <w:t>Preparar una ficha FEDER por cada línea LA11 a LA16, con presupuesto, indicador, responsable, estado y evidencia documental.</w:t>
      </w:r>
    </w:p>
    <w:p>
      <w:pPr>
        <w:pStyle w:val="ListBullet"/>
      </w:pPr>
      <w:r>
        <w:t>Priorizar LA15 y LA16 con un documento técnico específico de arquitectura digital, incluyendo protección de datos, seguridad, mantenimiento, propiedad de datos y reversibilidad.</w:t>
      </w:r>
    </w:p>
    <w:p>
      <w:pPr>
        <w:pStyle w:val="ListBullet"/>
      </w:pPr>
      <w:r>
        <w:t>Cerrar una matriz de disponibilidad de terrenos para aparcamientos, accesibilidad y actuaciones urbanas, con certificado municipal o acuerdo de cesión.</w:t>
      </w:r>
    </w:p>
    <w:p>
      <w:pPr>
        <w:pStyle w:val="ListBullet"/>
      </w:pPr>
      <w:r>
        <w:t>Vincular las actuaciones de obra, en la medida posible, a Planes Provinciales de Obras y Servicios, tal como sugiere la memoria, para acelerar ejecución.</w:t>
      </w:r>
    </w:p>
    <w:p>
      <w:pPr>
        <w:pStyle w:val="ListBullet"/>
      </w:pPr>
      <w:r>
        <w:t>Mantener un control separado de la interacción con el PAI Loja para evitar solapamientos en indicadores, gasto o territorio.</w:t>
      </w:r>
    </w:p>
    <w:p>
      <w:pPr>
        <w:pStyle w:val="Heading2"/>
      </w:pPr>
      <w:r>
        <w:t>Entregables de control propuestos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311"/>
            <w:shd w:fill="1F4E79"/>
            <w:vAlign w:val="center"/>
          </w:tcPr>
          <w:p>
            <w:pPr>
              <w:spacing w:after="0" w:before="0"/>
              <w:jc w:val="left"/>
            </w:pPr>
            <w:r>
              <w:rPr>
                <w:rFonts w:ascii="Arial" w:hAnsi="Arial"/>
              </w:rPr>
            </w:r>
            <w:r>
              <w:rPr>
                <w:rFonts w:ascii="Arial" w:hAnsi="Arial"/>
                <w:b/>
                <w:color w:val="FFFFFF"/>
                <w:sz w:val="16"/>
              </w:rPr>
              <w:t>Entregable</w:t>
            </w:r>
          </w:p>
        </w:tc>
        <w:tc>
          <w:tcPr>
            <w:tcW w:type="dxa" w:w="6768"/>
            <w:shd w:fill="1F4E79"/>
            <w:vAlign w:val="center"/>
          </w:tcPr>
          <w:p>
            <w:pPr>
              <w:spacing w:after="0" w:before="0"/>
              <w:jc w:val="left"/>
            </w:pPr>
            <w:r>
              <w:rPr>
                <w:rFonts w:ascii="Arial" w:hAnsi="Arial"/>
              </w:rPr>
            </w:r>
            <w:r>
              <w:rPr>
                <w:rFonts w:ascii="Arial" w:hAnsi="Arial"/>
                <w:b/>
                <w:color w:val="FFFFFF"/>
                <w:sz w:val="16"/>
              </w:rPr>
              <w:t>Finalidad</w:t>
            </w:r>
          </w:p>
        </w:tc>
        <w:tc>
          <w:tcPr>
            <w:tcW w:type="dxa" w:w="1728"/>
            <w:shd w:fill="1F4E79"/>
            <w:vAlign w:val="center"/>
          </w:tcPr>
          <w:p>
            <w:pPr>
              <w:spacing w:after="0" w:before="0"/>
              <w:jc w:val="left"/>
            </w:pPr>
            <w:r>
              <w:rPr>
                <w:rFonts w:ascii="Arial" w:hAnsi="Arial"/>
              </w:rPr>
            </w:r>
            <w:r>
              <w:rPr>
                <w:rFonts w:ascii="Arial" w:hAnsi="Arial"/>
                <w:b/>
                <w:color w:val="FFFFFF"/>
                <w:sz w:val="16"/>
              </w:rPr>
              <w:t>Prioridad</w:t>
            </w:r>
          </w:p>
        </w:tc>
      </w:tr>
      <w:tr>
        <w:trPr>
          <w:cantSplit/>
        </w:trPr>
        <w:tc>
          <w:tcPr>
            <w:tcW w:type="dxa" w:w="3311"/>
            <w:vAlign w:val="top"/>
          </w:tcPr>
          <w:p>
            <w:pPr>
              <w:spacing w:after="0" w:before="0"/>
              <w:jc w:val="left"/>
            </w:pPr>
            <w:r>
              <w:rPr>
                <w:rFonts w:ascii="Arial" w:hAnsi="Arial"/>
              </w:rPr>
            </w:r>
            <w:r>
              <w:rPr>
                <w:rFonts w:ascii="Arial" w:hAnsi="Arial"/>
                <w:b w:val="0"/>
                <w:sz w:val="16"/>
              </w:rPr>
              <w:t>Matriz LA11-LA16</w:t>
            </w:r>
          </w:p>
        </w:tc>
        <w:tc>
          <w:tcPr>
            <w:tcW w:type="dxa" w:w="6768"/>
            <w:vAlign w:val="top"/>
          </w:tcPr>
          <w:p>
            <w:pPr>
              <w:spacing w:after="0" w:before="0"/>
              <w:jc w:val="left"/>
            </w:pPr>
            <w:r>
              <w:rPr>
                <w:rFonts w:ascii="Arial" w:hAnsi="Arial"/>
              </w:rPr>
            </w:r>
            <w:r>
              <w:rPr>
                <w:rFonts w:ascii="Arial" w:hAnsi="Arial"/>
                <w:b w:val="0"/>
                <w:sz w:val="16"/>
              </w:rPr>
              <w:t>Controlar madurez, permisos, licitación y certificación por línea.</w:t>
            </w:r>
          </w:p>
        </w:tc>
        <w:tc>
          <w:tcPr>
            <w:tcW w:type="dxa" w:w="1728"/>
            <w:vAlign w:val="top"/>
          </w:tcPr>
          <w:p>
            <w:pPr>
              <w:spacing w:after="0" w:before="0"/>
              <w:jc w:val="left"/>
            </w:pPr>
            <w:r>
              <w:rPr>
                <w:rFonts w:ascii="Arial" w:hAnsi="Arial"/>
              </w:rPr>
            </w:r>
            <w:r>
              <w:rPr>
                <w:rFonts w:ascii="Arial" w:hAnsi="Arial"/>
                <w:b w:val="0"/>
                <w:sz w:val="16"/>
              </w:rPr>
              <w:t>CRÍTICA</w:t>
            </w:r>
          </w:p>
        </w:tc>
      </w:tr>
      <w:tr>
        <w:trPr>
          <w:cantSplit/>
        </w:trPr>
        <w:tc>
          <w:tcPr>
            <w:tcW w:type="dxa" w:w="3311"/>
            <w:vAlign w:val="top"/>
          </w:tcPr>
          <w:p>
            <w:pPr>
              <w:spacing w:after="0" w:before="0"/>
              <w:jc w:val="left"/>
            </w:pPr>
            <w:r>
              <w:rPr>
                <w:rFonts w:ascii="Arial" w:hAnsi="Arial"/>
              </w:rPr>
            </w:r>
            <w:r>
              <w:rPr>
                <w:rFonts w:ascii="Arial" w:hAnsi="Arial"/>
                <w:b w:val="0"/>
                <w:sz w:val="16"/>
              </w:rPr>
              <w:t>Pliego marco Smart City</w:t>
            </w:r>
          </w:p>
        </w:tc>
        <w:tc>
          <w:tcPr>
            <w:tcW w:type="dxa" w:w="6768"/>
            <w:vAlign w:val="top"/>
          </w:tcPr>
          <w:p>
            <w:pPr>
              <w:spacing w:after="0" w:before="0"/>
              <w:jc w:val="left"/>
            </w:pPr>
            <w:r>
              <w:rPr>
                <w:rFonts w:ascii="Arial" w:hAnsi="Arial"/>
              </w:rPr>
            </w:r>
            <w:r>
              <w:rPr>
                <w:rFonts w:ascii="Arial" w:hAnsi="Arial"/>
                <w:b w:val="0"/>
                <w:sz w:val="16"/>
              </w:rPr>
              <w:t>Evitar licitaciones tecnológicas mal definidas.</w:t>
            </w:r>
          </w:p>
        </w:tc>
        <w:tc>
          <w:tcPr>
            <w:tcW w:type="dxa" w:w="1728"/>
            <w:vAlign w:val="top"/>
          </w:tcPr>
          <w:p>
            <w:pPr>
              <w:spacing w:after="0" w:before="0"/>
              <w:jc w:val="left"/>
            </w:pPr>
            <w:r>
              <w:rPr>
                <w:rFonts w:ascii="Arial" w:hAnsi="Arial"/>
              </w:rPr>
            </w:r>
            <w:r>
              <w:rPr>
                <w:rFonts w:ascii="Arial" w:hAnsi="Arial"/>
                <w:b w:val="0"/>
                <w:sz w:val="16"/>
              </w:rPr>
              <w:t>ALTA</w:t>
            </w:r>
          </w:p>
        </w:tc>
      </w:tr>
      <w:tr>
        <w:trPr>
          <w:cantSplit/>
        </w:trPr>
        <w:tc>
          <w:tcPr>
            <w:tcW w:type="dxa" w:w="3311"/>
            <w:vAlign w:val="top"/>
          </w:tcPr>
          <w:p>
            <w:pPr>
              <w:spacing w:after="0" w:before="0"/>
              <w:jc w:val="left"/>
            </w:pPr>
            <w:r>
              <w:rPr>
                <w:rFonts w:ascii="Arial" w:hAnsi="Arial"/>
              </w:rPr>
            </w:r>
            <w:r>
              <w:rPr>
                <w:rFonts w:ascii="Arial" w:hAnsi="Arial"/>
                <w:b w:val="0"/>
                <w:sz w:val="16"/>
              </w:rPr>
              <w:t>Informe no solapamiento Loja</w:t>
            </w:r>
          </w:p>
        </w:tc>
        <w:tc>
          <w:tcPr>
            <w:tcW w:type="dxa" w:w="6768"/>
            <w:vAlign w:val="top"/>
          </w:tcPr>
          <w:p>
            <w:pPr>
              <w:spacing w:after="0" w:before="0"/>
              <w:jc w:val="left"/>
            </w:pPr>
            <w:r>
              <w:rPr>
                <w:rFonts w:ascii="Arial" w:hAnsi="Arial"/>
              </w:rPr>
            </w:r>
            <w:r>
              <w:rPr>
                <w:rFonts w:ascii="Arial" w:hAnsi="Arial"/>
                <w:b w:val="0"/>
                <w:sz w:val="16"/>
              </w:rPr>
              <w:t>Blindar la complementariedad ante auditoría o modificación.</w:t>
            </w:r>
          </w:p>
        </w:tc>
        <w:tc>
          <w:tcPr>
            <w:tcW w:type="dxa" w:w="1728"/>
            <w:vAlign w:val="top"/>
          </w:tcPr>
          <w:p>
            <w:pPr>
              <w:spacing w:after="0" w:before="0"/>
              <w:jc w:val="left"/>
            </w:pPr>
            <w:r>
              <w:rPr>
                <w:rFonts w:ascii="Arial" w:hAnsi="Arial"/>
              </w:rPr>
            </w:r>
            <w:r>
              <w:rPr>
                <w:rFonts w:ascii="Arial" w:hAnsi="Arial"/>
                <w:b w:val="0"/>
                <w:sz w:val="16"/>
              </w:rPr>
              <w:t>MEDIA</w:t>
            </w:r>
          </w:p>
        </w:tc>
      </w:tr>
      <w:tr>
        <w:trPr>
          <w:cantSplit/>
        </w:trPr>
        <w:tc>
          <w:tcPr>
            <w:tcW w:type="dxa" w:w="3311"/>
            <w:vAlign w:val="top"/>
          </w:tcPr>
          <w:p>
            <w:pPr>
              <w:spacing w:after="0" w:before="0"/>
              <w:jc w:val="left"/>
            </w:pPr>
            <w:r>
              <w:rPr>
                <w:rFonts w:ascii="Arial" w:hAnsi="Arial"/>
              </w:rPr>
            </w:r>
            <w:r>
              <w:rPr>
                <w:rFonts w:ascii="Arial" w:hAnsi="Arial"/>
                <w:b w:val="0"/>
                <w:sz w:val="16"/>
              </w:rPr>
              <w:t>Panel 20/70</w:t>
            </w:r>
          </w:p>
        </w:tc>
        <w:tc>
          <w:tcPr>
            <w:tcW w:type="dxa" w:w="6768"/>
            <w:vAlign w:val="top"/>
          </w:tcPr>
          <w:p>
            <w:pPr>
              <w:spacing w:after="0" w:before="0"/>
              <w:jc w:val="left"/>
            </w:pPr>
            <w:r>
              <w:rPr>
                <w:rFonts w:ascii="Arial" w:hAnsi="Arial"/>
              </w:rPr>
            </w:r>
            <w:r>
              <w:rPr>
                <w:rFonts w:ascii="Arial" w:hAnsi="Arial"/>
                <w:b w:val="0"/>
                <w:sz w:val="16"/>
              </w:rPr>
              <w:t>Medir mensualmente certificación 20 % y selección 70 %.</w:t>
            </w:r>
          </w:p>
        </w:tc>
        <w:tc>
          <w:tcPr>
            <w:tcW w:type="dxa" w:w="1728"/>
            <w:vAlign w:val="top"/>
          </w:tcPr>
          <w:p>
            <w:pPr>
              <w:spacing w:after="0" w:before="0"/>
              <w:jc w:val="left"/>
            </w:pPr>
            <w:r>
              <w:rPr>
                <w:rFonts w:ascii="Arial" w:hAnsi="Arial"/>
              </w:rPr>
            </w:r>
            <w:r>
              <w:rPr>
                <w:rFonts w:ascii="Arial" w:hAnsi="Arial"/>
                <w:b w:val="0"/>
                <w:sz w:val="16"/>
              </w:rPr>
              <w:t>CRÍTICA</w:t>
            </w:r>
          </w:p>
        </w:tc>
      </w:tr>
    </w:tbl>
    <w:p/>
    <w:p>
      <w:pPr>
        <w:pStyle w:val="Heading1"/>
      </w:pPr>
      <w:r>
        <w:t>6. PAI Costa Poniente Granadina, Senda Futuro</w:t>
      </w:r>
    </w:p>
    <w:p>
      <w:pPr>
        <w:pStyle w:val="Small"/>
      </w:pPr>
      <w:r>
        <w:rPr>
          <w:b/>
        </w:rPr>
        <w:t xml:space="preserve">Fuente revisada: </w:t>
      </w:r>
      <w:r>
        <w:t>Memoria-PAI-Costa.pdf.</w:t>
      </w:r>
    </w:p>
    <w:p>
      <w:r>
        <w:t>El PAI Costa Poniente se estructura en tres proyectos: Senda Natural, Senda Amigable y Senda Emprendedora. Combina litoral, regeneración paisajística, atención a mayores, accesibilidad, plataforma inteligente e innovación en la fruta tropical. La memoria declara un presupuesto total de 15.000.000 euros y una previsión de certificación del 21,93 % antes de finalizar el primer trimestre de 2027.</w:t>
      </w:r>
    </w:p>
    <w:p>
      <w:r>
        <w:rPr>
          <w:b/>
        </w:rPr>
        <w:t xml:space="preserve">Valoración Vanguardia.Tech: </w:t>
      </w:r>
      <w:r>
        <w:t xml:space="preserve">Diagnóstico general de riesgo: </w:t>
      </w:r>
      <w:r>
        <w:t>Riesgo medio. La Senda Litoral muestra madurez favorable, pero la previsión de certificación tiene margen limitado y el presupuesto debe verificarse con la resolución definitiva. La parte tecnológica exige pliegos robustos.</w:t>
      </w:r>
    </w:p>
    <w:p>
      <w:pPr>
        <w:pStyle w:val="Heading2"/>
      </w:pPr>
      <w:r>
        <w:t>Cumplimientos documentales identificados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168"/>
            <w:shd w:fill="1F4E79"/>
            <w:vAlign w:val="center"/>
          </w:tcPr>
          <w:p>
            <w:pPr>
              <w:spacing w:after="0" w:before="0"/>
              <w:jc w:val="left"/>
            </w:pPr>
            <w:r>
              <w:rPr>
                <w:rFonts w:ascii="Arial" w:hAnsi="Arial"/>
              </w:rPr>
            </w:r>
            <w:r>
              <w:rPr>
                <w:rFonts w:ascii="Arial" w:hAnsi="Arial"/>
                <w:b/>
                <w:color w:val="FFFFFF"/>
                <w:sz w:val="16"/>
              </w:rPr>
              <w:t>Elemento exigido o valorable</w:t>
            </w:r>
          </w:p>
        </w:tc>
        <w:tc>
          <w:tcPr>
            <w:tcW w:type="dxa" w:w="6192"/>
            <w:shd w:fill="1F4E79"/>
            <w:vAlign w:val="center"/>
          </w:tcPr>
          <w:p>
            <w:pPr>
              <w:spacing w:after="0" w:before="0"/>
              <w:jc w:val="left"/>
            </w:pPr>
            <w:r>
              <w:rPr>
                <w:rFonts w:ascii="Arial" w:hAnsi="Arial"/>
              </w:rPr>
            </w:r>
            <w:r>
              <w:rPr>
                <w:rFonts w:ascii="Arial" w:hAnsi="Arial"/>
                <w:b/>
                <w:color w:val="FFFFFF"/>
                <w:sz w:val="16"/>
              </w:rPr>
              <w:t>Evidencia en la memoria revisada</w:t>
            </w:r>
          </w:p>
        </w:tc>
        <w:tc>
          <w:tcPr>
            <w:tcW w:type="dxa" w:w="2592"/>
            <w:shd w:fill="1F4E79"/>
            <w:vAlign w:val="center"/>
          </w:tcPr>
          <w:p>
            <w:pPr>
              <w:spacing w:after="0" w:before="0"/>
              <w:jc w:val="left"/>
            </w:pPr>
            <w:r>
              <w:rPr>
                <w:rFonts w:ascii="Arial" w:hAnsi="Arial"/>
              </w:rPr>
            </w:r>
            <w:r>
              <w:rPr>
                <w:rFonts w:ascii="Arial" w:hAnsi="Arial"/>
                <w:b/>
                <w:color w:val="FFFFFF"/>
                <w:sz w:val="16"/>
              </w:rPr>
              <w:t>Valoración</w:t>
            </w:r>
          </w:p>
        </w:tc>
      </w:tr>
      <w:tr>
        <w:trPr>
          <w:cantSplit/>
        </w:trPr>
        <w:tc>
          <w:tcPr>
            <w:tcW w:type="dxa" w:w="3168"/>
            <w:vAlign w:val="top"/>
          </w:tcPr>
          <w:p>
            <w:pPr>
              <w:spacing w:after="0" w:before="0"/>
              <w:jc w:val="left"/>
            </w:pPr>
            <w:r>
              <w:rPr>
                <w:rFonts w:ascii="Arial" w:hAnsi="Arial"/>
              </w:rPr>
            </w:r>
            <w:r>
              <w:rPr>
                <w:rFonts w:ascii="Arial" w:hAnsi="Arial"/>
                <w:b w:val="0"/>
                <w:sz w:val="16"/>
              </w:rPr>
              <w:t>Alineación estratégica</w:t>
            </w:r>
          </w:p>
        </w:tc>
        <w:tc>
          <w:tcPr>
            <w:tcW w:type="dxa" w:w="6192"/>
            <w:vAlign w:val="top"/>
          </w:tcPr>
          <w:p>
            <w:pPr>
              <w:spacing w:after="0" w:before="0"/>
              <w:jc w:val="left"/>
            </w:pPr>
            <w:r>
              <w:rPr>
                <w:rFonts w:ascii="Arial" w:hAnsi="Arial"/>
              </w:rPr>
            </w:r>
            <w:r>
              <w:rPr>
                <w:rFonts w:ascii="Arial" w:hAnsi="Arial"/>
                <w:b w:val="0"/>
                <w:sz w:val="16"/>
              </w:rPr>
              <w:t>Parte de la Agenda Urbana y Rural del territorio, que actúa como EDIL, y aborda retos económicos, sociales, culturales, físicos y ambientales.</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Programa de implementación</w:t>
            </w:r>
          </w:p>
        </w:tc>
        <w:tc>
          <w:tcPr>
            <w:tcW w:type="dxa" w:w="6192"/>
            <w:vAlign w:val="top"/>
          </w:tcPr>
          <w:p>
            <w:pPr>
              <w:spacing w:after="0" w:before="0"/>
              <w:jc w:val="left"/>
            </w:pPr>
            <w:r>
              <w:rPr>
                <w:rFonts w:ascii="Arial" w:hAnsi="Arial"/>
              </w:rPr>
            </w:r>
            <w:r>
              <w:rPr>
                <w:rFonts w:ascii="Arial" w:hAnsi="Arial"/>
                <w:b w:val="0"/>
                <w:sz w:val="16"/>
              </w:rPr>
              <w:t>Incluye Senda Litoral, regeneración de bordes, digitalización/sensorización, centros de día, accesibilidad, plataforma municipal inteligente y centro de innovación de fruta tropical.</w:t>
            </w:r>
          </w:p>
        </w:tc>
        <w:tc>
          <w:tcPr>
            <w:tcW w:type="dxa" w:w="2592"/>
            <w:vAlign w:val="top"/>
          </w:tcPr>
          <w:p>
            <w:pPr>
              <w:spacing w:after="0" w:before="0"/>
              <w:jc w:val="left"/>
            </w:pPr>
            <w:r>
              <w:rPr>
                <w:rFonts w:ascii="Arial" w:hAnsi="Arial"/>
              </w:rPr>
            </w:r>
            <w:r>
              <w:rPr>
                <w:rFonts w:ascii="Arial" w:hAnsi="Arial"/>
                <w:b w:val="0"/>
                <w:sz w:val="16"/>
              </w:rPr>
              <w:t>Completo.</w:t>
            </w:r>
          </w:p>
        </w:tc>
      </w:tr>
      <w:tr>
        <w:trPr>
          <w:cantSplit/>
        </w:trPr>
        <w:tc>
          <w:tcPr>
            <w:tcW w:type="dxa" w:w="3168"/>
            <w:vAlign w:val="top"/>
          </w:tcPr>
          <w:p>
            <w:pPr>
              <w:spacing w:after="0" w:before="0"/>
              <w:jc w:val="left"/>
            </w:pPr>
            <w:r>
              <w:rPr>
                <w:rFonts w:ascii="Arial" w:hAnsi="Arial"/>
              </w:rPr>
            </w:r>
            <w:r>
              <w:rPr>
                <w:rFonts w:ascii="Arial" w:hAnsi="Arial"/>
                <w:b w:val="0"/>
                <w:sz w:val="16"/>
              </w:rPr>
              <w:t>Madurez Senda Litoral</w:t>
            </w:r>
          </w:p>
        </w:tc>
        <w:tc>
          <w:tcPr>
            <w:tcW w:type="dxa" w:w="6192"/>
            <w:vAlign w:val="top"/>
          </w:tcPr>
          <w:p>
            <w:pPr>
              <w:spacing w:after="0" w:before="0"/>
              <w:jc w:val="left"/>
            </w:pPr>
            <w:r>
              <w:rPr>
                <w:rFonts w:ascii="Arial" w:hAnsi="Arial"/>
              </w:rPr>
            </w:r>
            <w:r>
              <w:rPr>
                <w:rFonts w:ascii="Arial" w:hAnsi="Arial"/>
                <w:b w:val="0"/>
                <w:sz w:val="16"/>
              </w:rPr>
              <w:t>Incluye tramos de Almuñécar y Salobreña por su madurez. Almuñécar figura en licitación y con proyecto constructivo; Salobreña en preparación de licitación y con proyecto constructivo.</w:t>
            </w:r>
          </w:p>
        </w:tc>
        <w:tc>
          <w:tcPr>
            <w:tcW w:type="dxa" w:w="2592"/>
            <w:vAlign w:val="top"/>
          </w:tcPr>
          <w:p>
            <w:pPr>
              <w:spacing w:after="0" w:before="0"/>
              <w:jc w:val="left"/>
            </w:pPr>
            <w:r>
              <w:rPr>
                <w:rFonts w:ascii="Arial" w:hAnsi="Arial"/>
              </w:rPr>
            </w:r>
            <w:r>
              <w:rPr>
                <w:rFonts w:ascii="Arial" w:hAnsi="Arial"/>
                <w:b w:val="0"/>
                <w:sz w:val="16"/>
              </w:rPr>
              <w:t>Punto fuerte.</w:t>
            </w:r>
          </w:p>
        </w:tc>
      </w:tr>
      <w:tr>
        <w:trPr>
          <w:cantSplit/>
        </w:trPr>
        <w:tc>
          <w:tcPr>
            <w:tcW w:type="dxa" w:w="3168"/>
            <w:vAlign w:val="top"/>
          </w:tcPr>
          <w:p>
            <w:pPr>
              <w:spacing w:after="0" w:before="0"/>
              <w:jc w:val="left"/>
            </w:pPr>
            <w:r>
              <w:rPr>
                <w:rFonts w:ascii="Arial" w:hAnsi="Arial"/>
              </w:rPr>
            </w:r>
            <w:r>
              <w:rPr>
                <w:rFonts w:ascii="Arial" w:hAnsi="Arial"/>
                <w:b w:val="0"/>
                <w:sz w:val="16"/>
              </w:rPr>
              <w:t>Viabilidad A2</w:t>
            </w:r>
          </w:p>
        </w:tc>
        <w:tc>
          <w:tcPr>
            <w:tcW w:type="dxa" w:w="6192"/>
            <w:vAlign w:val="top"/>
          </w:tcPr>
          <w:p>
            <w:pPr>
              <w:spacing w:after="0" w:before="0"/>
              <w:jc w:val="left"/>
            </w:pPr>
            <w:r>
              <w:rPr>
                <w:rFonts w:ascii="Arial" w:hAnsi="Arial"/>
              </w:rPr>
            </w:r>
            <w:r>
              <w:rPr>
                <w:rFonts w:ascii="Arial" w:hAnsi="Arial"/>
                <w:b w:val="0"/>
                <w:sz w:val="16"/>
              </w:rPr>
              <w:t>Bordes urbano-rurales y urbano-litorales se declaran viables, con titularidad pública y sin competencias de otras administraciones.</w:t>
            </w:r>
          </w:p>
        </w:tc>
        <w:tc>
          <w:tcPr>
            <w:tcW w:type="dxa" w:w="2592"/>
            <w:vAlign w:val="top"/>
          </w:tcPr>
          <w:p>
            <w:pPr>
              <w:spacing w:after="0" w:before="0"/>
              <w:jc w:val="left"/>
            </w:pPr>
            <w:r>
              <w:rPr>
                <w:rFonts w:ascii="Arial" w:hAnsi="Arial"/>
              </w:rPr>
            </w:r>
            <w:r>
              <w:rPr>
                <w:rFonts w:ascii="Arial" w:hAnsi="Arial"/>
                <w:b w:val="0"/>
                <w:sz w:val="16"/>
              </w:rPr>
              <w:t>Favorable.</w:t>
            </w:r>
          </w:p>
        </w:tc>
      </w:tr>
      <w:tr>
        <w:trPr>
          <w:cantSplit/>
        </w:trPr>
        <w:tc>
          <w:tcPr>
            <w:tcW w:type="dxa" w:w="3168"/>
            <w:vAlign w:val="top"/>
          </w:tcPr>
          <w:p>
            <w:pPr>
              <w:spacing w:after="0" w:before="0"/>
              <w:jc w:val="left"/>
            </w:pPr>
            <w:r>
              <w:rPr>
                <w:rFonts w:ascii="Arial" w:hAnsi="Arial"/>
              </w:rPr>
            </w:r>
            <w:r>
              <w:rPr>
                <w:rFonts w:ascii="Arial" w:hAnsi="Arial"/>
                <w:b w:val="0"/>
                <w:sz w:val="16"/>
              </w:rPr>
              <w:t>Residuos</w:t>
            </w:r>
          </w:p>
        </w:tc>
        <w:tc>
          <w:tcPr>
            <w:tcW w:type="dxa" w:w="6192"/>
            <w:vAlign w:val="top"/>
          </w:tcPr>
          <w:p>
            <w:pPr>
              <w:spacing w:after="0" w:before="0"/>
              <w:jc w:val="left"/>
            </w:pPr>
            <w:r>
              <w:rPr>
                <w:rFonts w:ascii="Arial" w:hAnsi="Arial"/>
              </w:rPr>
            </w:r>
            <w:r>
              <w:rPr>
                <w:rFonts w:ascii="Arial" w:hAnsi="Arial"/>
                <w:b w:val="0"/>
                <w:sz w:val="16"/>
              </w:rPr>
              <w:t>Mini puntos limpios sin autorización previa y alineados con Plan Provincial de Residuos.</w:t>
            </w:r>
          </w:p>
        </w:tc>
        <w:tc>
          <w:tcPr>
            <w:tcW w:type="dxa" w:w="2592"/>
            <w:vAlign w:val="top"/>
          </w:tcPr>
          <w:p>
            <w:pPr>
              <w:spacing w:after="0" w:before="0"/>
              <w:jc w:val="left"/>
            </w:pPr>
            <w:r>
              <w:rPr>
                <w:rFonts w:ascii="Arial" w:hAnsi="Arial"/>
              </w:rPr>
            </w:r>
            <w:r>
              <w:rPr>
                <w:rFonts w:ascii="Arial" w:hAnsi="Arial"/>
                <w:b w:val="0"/>
                <w:sz w:val="16"/>
              </w:rPr>
              <w:t>Favorable.</w:t>
            </w:r>
          </w:p>
        </w:tc>
      </w:tr>
      <w:tr>
        <w:trPr>
          <w:cantSplit/>
        </w:trPr>
        <w:tc>
          <w:tcPr>
            <w:tcW w:type="dxa" w:w="3168"/>
            <w:vAlign w:val="top"/>
          </w:tcPr>
          <w:p>
            <w:pPr>
              <w:spacing w:after="0" w:before="0"/>
              <w:jc w:val="left"/>
            </w:pPr>
            <w:r>
              <w:rPr>
                <w:rFonts w:ascii="Arial" w:hAnsi="Arial"/>
              </w:rPr>
            </w:r>
            <w:r>
              <w:rPr>
                <w:rFonts w:ascii="Arial" w:hAnsi="Arial"/>
                <w:b w:val="0"/>
                <w:sz w:val="16"/>
              </w:rPr>
              <w:t>Cronograma</w:t>
            </w:r>
          </w:p>
        </w:tc>
        <w:tc>
          <w:tcPr>
            <w:tcW w:type="dxa" w:w="6192"/>
            <w:vAlign w:val="top"/>
          </w:tcPr>
          <w:p>
            <w:pPr>
              <w:spacing w:after="0" w:before="0"/>
              <w:jc w:val="left"/>
            </w:pPr>
            <w:r>
              <w:rPr>
                <w:rFonts w:ascii="Arial" w:hAnsi="Arial"/>
              </w:rPr>
            </w:r>
            <w:r>
              <w:rPr>
                <w:rFonts w:ascii="Arial" w:hAnsi="Arial"/>
                <w:b w:val="0"/>
                <w:sz w:val="16"/>
              </w:rPr>
              <w:t>Prevé ejecución concentrada en 2025-2026 para actuaciones maduras y extensión hasta 2029.</w:t>
            </w:r>
          </w:p>
        </w:tc>
        <w:tc>
          <w:tcPr>
            <w:tcW w:type="dxa" w:w="2592"/>
            <w:vAlign w:val="top"/>
          </w:tcPr>
          <w:p>
            <w:pPr>
              <w:spacing w:after="0" w:before="0"/>
              <w:jc w:val="left"/>
            </w:pPr>
            <w:r>
              <w:rPr>
                <w:rFonts w:ascii="Arial" w:hAnsi="Arial"/>
              </w:rPr>
            </w:r>
            <w:r>
              <w:rPr>
                <w:rFonts w:ascii="Arial" w:hAnsi="Arial"/>
                <w:b w:val="0"/>
                <w:sz w:val="16"/>
              </w:rPr>
              <w:t>Adecuado si se confirma contratación.</w:t>
            </w:r>
          </w:p>
        </w:tc>
      </w:tr>
    </w:tbl>
    <w:p/>
    <w:p>
      <w:pPr>
        <w:pStyle w:val="Heading2"/>
      </w:pPr>
      <w:r>
        <w:t>Incidencias, vacíos y urgencia de corrección</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shd w:fill="1F4E79"/>
            <w:vAlign w:val="center"/>
          </w:tcPr>
          <w:p>
            <w:pPr>
              <w:spacing w:after="0" w:before="0"/>
              <w:jc w:val="left"/>
            </w:pPr>
            <w:r>
              <w:rPr>
                <w:rFonts w:ascii="Arial" w:hAnsi="Arial"/>
              </w:rPr>
            </w:r>
            <w:r>
              <w:rPr>
                <w:rFonts w:ascii="Arial" w:hAnsi="Arial"/>
                <w:b/>
                <w:color w:val="FFFFFF"/>
                <w:sz w:val="16"/>
              </w:rPr>
              <w:t>Ámbito revisado</w:t>
            </w:r>
          </w:p>
        </w:tc>
        <w:tc>
          <w:tcPr>
            <w:tcW w:type="dxa" w:w="3744"/>
            <w:shd w:fill="1F4E79"/>
            <w:vAlign w:val="center"/>
          </w:tcPr>
          <w:p>
            <w:pPr>
              <w:spacing w:after="0" w:before="0"/>
              <w:jc w:val="left"/>
            </w:pPr>
            <w:r>
              <w:rPr>
                <w:rFonts w:ascii="Arial" w:hAnsi="Arial"/>
              </w:rPr>
            </w:r>
            <w:r>
              <w:rPr>
                <w:rFonts w:ascii="Arial" w:hAnsi="Arial"/>
                <w:b/>
                <w:color w:val="FFFFFF"/>
                <w:sz w:val="16"/>
              </w:rPr>
              <w:t>Estado según memorias</w:t>
            </w:r>
          </w:p>
        </w:tc>
        <w:tc>
          <w:tcPr>
            <w:tcW w:type="dxa" w:w="4031"/>
            <w:shd w:fill="1F4E79"/>
            <w:vAlign w:val="center"/>
          </w:tcPr>
          <w:p>
            <w:pPr>
              <w:spacing w:after="0" w:before="0"/>
              <w:jc w:val="left"/>
            </w:pPr>
            <w:r>
              <w:rPr>
                <w:rFonts w:ascii="Arial" w:hAnsi="Arial"/>
              </w:rPr>
            </w:r>
            <w:r>
              <w:rPr>
                <w:rFonts w:ascii="Arial" w:hAnsi="Arial"/>
                <w:b/>
                <w:color w:val="FFFFFF"/>
                <w:sz w:val="16"/>
              </w:rPr>
              <w:t>Riesgo principal</w:t>
            </w:r>
          </w:p>
        </w:tc>
        <w:tc>
          <w:tcPr>
            <w:tcW w:type="dxa" w:w="1584"/>
            <w:shd w:fill="1F4E79"/>
            <w:vAlign w:val="center"/>
          </w:tcPr>
          <w:p>
            <w:pPr>
              <w:spacing w:after="0" w:before="0"/>
              <w:jc w:val="left"/>
            </w:pPr>
            <w:r>
              <w:rPr>
                <w:rFonts w:ascii="Arial" w:hAnsi="Arial"/>
              </w:rPr>
            </w:r>
            <w:r>
              <w:rPr>
                <w:rFonts w:ascii="Arial" w:hAnsi="Arial"/>
                <w:b/>
                <w:color w:val="FFFFFF"/>
                <w:sz w:val="16"/>
              </w:rPr>
              <w:t>Urgencia</w:t>
            </w:r>
          </w:p>
        </w:tc>
      </w:tr>
      <w:tr>
        <w:trPr>
          <w:cantSplit/>
        </w:trPr>
        <w:tc>
          <w:tcPr>
            <w:tcW w:type="dxa" w:w="2592"/>
            <w:vAlign w:val="top"/>
          </w:tcPr>
          <w:p>
            <w:pPr>
              <w:spacing w:after="0" w:before="0"/>
              <w:jc w:val="left"/>
            </w:pPr>
            <w:r>
              <w:rPr>
                <w:rFonts w:ascii="Arial" w:hAnsi="Arial"/>
              </w:rPr>
            </w:r>
            <w:r>
              <w:rPr>
                <w:rFonts w:ascii="Arial" w:hAnsi="Arial"/>
                <w:b w:val="0"/>
                <w:sz w:val="16"/>
              </w:rPr>
              <w:t>Reconciliación presupuestaria</w:t>
            </w:r>
          </w:p>
        </w:tc>
        <w:tc>
          <w:tcPr>
            <w:tcW w:type="dxa" w:w="3744"/>
            <w:vAlign w:val="top"/>
          </w:tcPr>
          <w:p>
            <w:pPr>
              <w:spacing w:after="0" w:before="0"/>
              <w:jc w:val="left"/>
            </w:pPr>
            <w:r>
              <w:rPr>
                <w:rFonts w:ascii="Arial" w:hAnsi="Arial"/>
              </w:rPr>
            </w:r>
            <w:r>
              <w:rPr>
                <w:rFonts w:ascii="Arial" w:hAnsi="Arial"/>
                <w:b w:val="0"/>
                <w:sz w:val="16"/>
              </w:rPr>
              <w:t>La memoria usa 15.000.000 euros.</w:t>
            </w:r>
          </w:p>
        </w:tc>
        <w:tc>
          <w:tcPr>
            <w:tcW w:type="dxa" w:w="4031"/>
            <w:vAlign w:val="top"/>
          </w:tcPr>
          <w:p>
            <w:pPr>
              <w:spacing w:after="0" w:before="0"/>
              <w:jc w:val="left"/>
            </w:pPr>
            <w:r>
              <w:rPr>
                <w:rFonts w:ascii="Arial" w:hAnsi="Arial"/>
              </w:rPr>
            </w:r>
            <w:r>
              <w:rPr>
                <w:rFonts w:ascii="Arial" w:hAnsi="Arial"/>
                <w:b w:val="0"/>
                <w:sz w:val="16"/>
              </w:rPr>
              <w:t>Debe contrastarse con resolución definitiva, senda asignada y límites aplicables para evitar descuadres de elegibilidad y cofinanciación.</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Certificación 21,93 %</w:t>
            </w:r>
          </w:p>
        </w:tc>
        <w:tc>
          <w:tcPr>
            <w:tcW w:type="dxa" w:w="3744"/>
            <w:vAlign w:val="top"/>
          </w:tcPr>
          <w:p>
            <w:pPr>
              <w:spacing w:after="0" w:before="0"/>
              <w:jc w:val="left"/>
            </w:pPr>
            <w:r>
              <w:rPr>
                <w:rFonts w:ascii="Arial" w:hAnsi="Arial"/>
              </w:rPr>
            </w:r>
            <w:r>
              <w:rPr>
                <w:rFonts w:ascii="Arial" w:hAnsi="Arial"/>
                <w:b w:val="0"/>
                <w:sz w:val="16"/>
              </w:rPr>
              <w:t>La previsión supera por poco el umbral del 20 %.</w:t>
            </w:r>
          </w:p>
        </w:tc>
        <w:tc>
          <w:tcPr>
            <w:tcW w:type="dxa" w:w="4031"/>
            <w:vAlign w:val="top"/>
          </w:tcPr>
          <w:p>
            <w:pPr>
              <w:spacing w:after="0" w:before="0"/>
              <w:jc w:val="left"/>
            </w:pPr>
            <w:r>
              <w:rPr>
                <w:rFonts w:ascii="Arial" w:hAnsi="Arial"/>
              </w:rPr>
            </w:r>
            <w:r>
              <w:rPr>
                <w:rFonts w:ascii="Arial" w:hAnsi="Arial"/>
                <w:b w:val="0"/>
                <w:sz w:val="16"/>
              </w:rPr>
              <w:t>Margen bajo ante retrasos de licitación, certificación, pagos o validación de gasto.</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Salobreña, expediente administrativo</w:t>
            </w:r>
          </w:p>
        </w:tc>
        <w:tc>
          <w:tcPr>
            <w:tcW w:type="dxa" w:w="3744"/>
            <w:vAlign w:val="top"/>
          </w:tcPr>
          <w:p>
            <w:pPr>
              <w:spacing w:after="0" w:before="0"/>
              <w:jc w:val="left"/>
            </w:pPr>
            <w:r>
              <w:rPr>
                <w:rFonts w:ascii="Arial" w:hAnsi="Arial"/>
              </w:rPr>
            </w:r>
            <w:r>
              <w:rPr>
                <w:rFonts w:ascii="Arial" w:hAnsi="Arial"/>
                <w:b w:val="0"/>
                <w:sz w:val="16"/>
              </w:rPr>
              <w:t>La memoria indica que se está cerrando el expediente.</w:t>
            </w:r>
          </w:p>
        </w:tc>
        <w:tc>
          <w:tcPr>
            <w:tcW w:type="dxa" w:w="4031"/>
            <w:vAlign w:val="top"/>
          </w:tcPr>
          <w:p>
            <w:pPr>
              <w:spacing w:after="0" w:before="0"/>
              <w:jc w:val="left"/>
            </w:pPr>
            <w:r>
              <w:rPr>
                <w:rFonts w:ascii="Arial" w:hAnsi="Arial"/>
              </w:rPr>
            </w:r>
            <w:r>
              <w:rPr>
                <w:rFonts w:ascii="Arial" w:hAnsi="Arial"/>
                <w:b w:val="0"/>
                <w:sz w:val="16"/>
              </w:rPr>
              <w:t>Verificar cierre efectivo y publicación de licitación.</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Sensorización y cámaras</w:t>
            </w:r>
          </w:p>
        </w:tc>
        <w:tc>
          <w:tcPr>
            <w:tcW w:type="dxa" w:w="3744"/>
            <w:vAlign w:val="top"/>
          </w:tcPr>
          <w:p>
            <w:pPr>
              <w:spacing w:after="0" w:before="0"/>
              <w:jc w:val="left"/>
            </w:pPr>
            <w:r>
              <w:rPr>
                <w:rFonts w:ascii="Arial" w:hAnsi="Arial"/>
              </w:rPr>
            </w:r>
            <w:r>
              <w:rPr>
                <w:rFonts w:ascii="Arial" w:hAnsi="Arial"/>
                <w:b w:val="0"/>
                <w:sz w:val="16"/>
              </w:rPr>
              <w:t>La actuación incluye sensores, cámaras, datos ambientales y aforos.</w:t>
            </w:r>
          </w:p>
        </w:tc>
        <w:tc>
          <w:tcPr>
            <w:tcW w:type="dxa" w:w="4031"/>
            <w:vAlign w:val="top"/>
          </w:tcPr>
          <w:p>
            <w:pPr>
              <w:spacing w:after="0" w:before="0"/>
              <w:jc w:val="left"/>
            </w:pPr>
            <w:r>
              <w:rPr>
                <w:rFonts w:ascii="Arial" w:hAnsi="Arial"/>
              </w:rPr>
            </w:r>
            <w:r>
              <w:rPr>
                <w:rFonts w:ascii="Arial" w:hAnsi="Arial"/>
                <w:b w:val="0"/>
                <w:sz w:val="16"/>
              </w:rPr>
              <w:t>Requiere análisis de protección de datos, privacidad, ciberseguridad, interoperabilidad y mantenimiento.</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Plataforma municipal inteligente</w:t>
            </w:r>
          </w:p>
        </w:tc>
        <w:tc>
          <w:tcPr>
            <w:tcW w:type="dxa" w:w="3744"/>
            <w:vAlign w:val="top"/>
          </w:tcPr>
          <w:p>
            <w:pPr>
              <w:spacing w:after="0" w:before="0"/>
              <w:jc w:val="left"/>
            </w:pPr>
            <w:r>
              <w:rPr>
                <w:rFonts w:ascii="Arial" w:hAnsi="Arial"/>
              </w:rPr>
            </w:r>
            <w:r>
              <w:rPr>
                <w:rFonts w:ascii="Arial" w:hAnsi="Arial"/>
                <w:b w:val="0"/>
                <w:sz w:val="16"/>
              </w:rPr>
              <w:t>Actuación tecnológica relevante.</w:t>
            </w:r>
          </w:p>
        </w:tc>
        <w:tc>
          <w:tcPr>
            <w:tcW w:type="dxa" w:w="4031"/>
            <w:vAlign w:val="top"/>
          </w:tcPr>
          <w:p>
            <w:pPr>
              <w:spacing w:after="0" w:before="0"/>
              <w:jc w:val="left"/>
            </w:pPr>
            <w:r>
              <w:rPr>
                <w:rFonts w:ascii="Arial" w:hAnsi="Arial"/>
              </w:rPr>
            </w:r>
            <w:r>
              <w:rPr>
                <w:rFonts w:ascii="Arial" w:hAnsi="Arial"/>
                <w:b w:val="0"/>
                <w:sz w:val="16"/>
              </w:rPr>
              <w:t>Riesgo de pliego insuficiente o fragmentación tecnológica.</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Centro de innovación fruta tropical</w:t>
            </w:r>
          </w:p>
        </w:tc>
        <w:tc>
          <w:tcPr>
            <w:tcW w:type="dxa" w:w="3744"/>
            <w:vAlign w:val="top"/>
          </w:tcPr>
          <w:p>
            <w:pPr>
              <w:spacing w:after="0" w:before="0"/>
              <w:jc w:val="left"/>
            </w:pPr>
            <w:r>
              <w:rPr>
                <w:rFonts w:ascii="Arial" w:hAnsi="Arial"/>
              </w:rPr>
            </w:r>
            <w:r>
              <w:rPr>
                <w:rFonts w:ascii="Arial" w:hAnsi="Arial"/>
                <w:b w:val="0"/>
                <w:sz w:val="16"/>
              </w:rPr>
              <w:t>Proyecto económico transformador.</w:t>
            </w:r>
          </w:p>
        </w:tc>
        <w:tc>
          <w:tcPr>
            <w:tcW w:type="dxa" w:w="4031"/>
            <w:vAlign w:val="top"/>
          </w:tcPr>
          <w:p>
            <w:pPr>
              <w:spacing w:after="0" w:before="0"/>
              <w:jc w:val="left"/>
            </w:pPr>
            <w:r>
              <w:rPr>
                <w:rFonts w:ascii="Arial" w:hAnsi="Arial"/>
              </w:rPr>
            </w:r>
            <w:r>
              <w:rPr>
                <w:rFonts w:ascii="Arial" w:hAnsi="Arial"/>
                <w:b w:val="0"/>
                <w:sz w:val="16"/>
              </w:rPr>
              <w:t>Debe cerrarse modelo de explotación, indicadores, titularidad, equipamiento y sostenibilidad posterior.</w:t>
            </w:r>
          </w:p>
        </w:tc>
        <w:tc>
          <w:tcPr>
            <w:tcW w:type="dxa" w:w="1584"/>
            <w:vAlign w:val="top"/>
            <w:shd w:fill="FFD966"/>
          </w:tcPr>
          <w:p>
            <w:pPr>
              <w:spacing w:after="0" w:before="0"/>
              <w:jc w:val="left"/>
            </w:pPr>
            <w:r>
              <w:rPr>
                <w:rFonts w:ascii="Arial" w:hAnsi="Arial"/>
              </w:rPr>
            </w:r>
            <w:r>
              <w:rPr>
                <w:rFonts w:ascii="Arial" w:hAnsi="Arial"/>
                <w:b w:val="0"/>
                <w:sz w:val="16"/>
              </w:rPr>
              <w:t>MEDIA</w:t>
            </w:r>
          </w:p>
        </w:tc>
      </w:tr>
    </w:tbl>
    <w:p/>
    <w:p>
      <w:pPr>
        <w:pStyle w:val="Heading2"/>
      </w:pPr>
      <w:r>
        <w:t>Recomendaciones de mejora y control</w:t>
      </w:r>
    </w:p>
    <w:p>
      <w:pPr>
        <w:pStyle w:val="ListBullet"/>
      </w:pPr>
      <w:r>
        <w:t>Realizar una conciliación inmediata entre memoria, presupuesto final aprobado, ayuda FEDER, aportación provincial y senda definitiva.</w:t>
      </w:r>
    </w:p>
    <w:p>
      <w:pPr>
        <w:pStyle w:val="ListBullet"/>
      </w:pPr>
      <w:r>
        <w:t>Incrementar el colchón de certificación antes de marzo de 2027, priorizando actuaciones ya en licitación o con proyecto constructivo.</w:t>
      </w:r>
    </w:p>
    <w:p>
      <w:pPr>
        <w:pStyle w:val="ListBullet"/>
      </w:pPr>
      <w:r>
        <w:t>Cerrar expediente de Salobreña y registrar fecha de publicación en PCSP, adjudicación prevista, plazo de ejecución y pagos esperados.</w:t>
      </w:r>
    </w:p>
    <w:p>
      <w:pPr>
        <w:pStyle w:val="ListBullet"/>
      </w:pPr>
      <w:r>
        <w:t>Elaborar pliego técnico tipo para digitalización, sensorización y plataforma inteligente, con capítulos de datos, seguridad, mantenimiento, soporte y propiedad de la información.</w:t>
      </w:r>
    </w:p>
    <w:p>
      <w:pPr>
        <w:pStyle w:val="ListBullet"/>
      </w:pPr>
      <w:r>
        <w:t>Crear evidencias fotográficas, geolocalizadas y fechadas de Senda Litoral, bordes recuperados, pasarelas y puntos limpios.</w:t>
      </w:r>
    </w:p>
    <w:p>
      <w:pPr>
        <w:pStyle w:val="Heading2"/>
      </w:pPr>
      <w:r>
        <w:t>Entregables de control propuestos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311"/>
            <w:shd w:fill="1F4E79"/>
            <w:vAlign w:val="center"/>
          </w:tcPr>
          <w:p>
            <w:pPr>
              <w:spacing w:after="0" w:before="0"/>
              <w:jc w:val="left"/>
            </w:pPr>
            <w:r>
              <w:rPr>
                <w:rFonts w:ascii="Arial" w:hAnsi="Arial"/>
              </w:rPr>
            </w:r>
            <w:r>
              <w:rPr>
                <w:rFonts w:ascii="Arial" w:hAnsi="Arial"/>
                <w:b/>
                <w:color w:val="FFFFFF"/>
                <w:sz w:val="16"/>
              </w:rPr>
              <w:t>Entregable</w:t>
            </w:r>
          </w:p>
        </w:tc>
        <w:tc>
          <w:tcPr>
            <w:tcW w:type="dxa" w:w="6768"/>
            <w:shd w:fill="1F4E79"/>
            <w:vAlign w:val="center"/>
          </w:tcPr>
          <w:p>
            <w:pPr>
              <w:spacing w:after="0" w:before="0"/>
              <w:jc w:val="left"/>
            </w:pPr>
            <w:r>
              <w:rPr>
                <w:rFonts w:ascii="Arial" w:hAnsi="Arial"/>
              </w:rPr>
            </w:r>
            <w:r>
              <w:rPr>
                <w:rFonts w:ascii="Arial" w:hAnsi="Arial"/>
                <w:b/>
                <w:color w:val="FFFFFF"/>
                <w:sz w:val="16"/>
              </w:rPr>
              <w:t>Finalidad</w:t>
            </w:r>
          </w:p>
        </w:tc>
        <w:tc>
          <w:tcPr>
            <w:tcW w:type="dxa" w:w="1728"/>
            <w:shd w:fill="1F4E79"/>
            <w:vAlign w:val="center"/>
          </w:tcPr>
          <w:p>
            <w:pPr>
              <w:spacing w:after="0" w:before="0"/>
              <w:jc w:val="left"/>
            </w:pPr>
            <w:r>
              <w:rPr>
                <w:rFonts w:ascii="Arial" w:hAnsi="Arial"/>
              </w:rPr>
            </w:r>
            <w:r>
              <w:rPr>
                <w:rFonts w:ascii="Arial" w:hAnsi="Arial"/>
                <w:b/>
                <w:color w:val="FFFFFF"/>
                <w:sz w:val="16"/>
              </w:rPr>
              <w:t>Prioridad</w:t>
            </w:r>
          </w:p>
        </w:tc>
      </w:tr>
      <w:tr>
        <w:trPr>
          <w:cantSplit/>
        </w:trPr>
        <w:tc>
          <w:tcPr>
            <w:tcW w:type="dxa" w:w="3311"/>
            <w:vAlign w:val="top"/>
          </w:tcPr>
          <w:p>
            <w:pPr>
              <w:spacing w:after="0" w:before="0"/>
              <w:jc w:val="left"/>
            </w:pPr>
            <w:r>
              <w:rPr>
                <w:rFonts w:ascii="Arial" w:hAnsi="Arial"/>
              </w:rPr>
            </w:r>
            <w:r>
              <w:rPr>
                <w:rFonts w:ascii="Arial" w:hAnsi="Arial"/>
                <w:b w:val="0"/>
                <w:sz w:val="16"/>
              </w:rPr>
              <w:t>Informe de conciliación financiera</w:t>
            </w:r>
          </w:p>
        </w:tc>
        <w:tc>
          <w:tcPr>
            <w:tcW w:type="dxa" w:w="6768"/>
            <w:vAlign w:val="top"/>
          </w:tcPr>
          <w:p>
            <w:pPr>
              <w:spacing w:after="0" w:before="0"/>
              <w:jc w:val="left"/>
            </w:pPr>
            <w:r>
              <w:rPr>
                <w:rFonts w:ascii="Arial" w:hAnsi="Arial"/>
              </w:rPr>
            </w:r>
            <w:r>
              <w:rPr>
                <w:rFonts w:ascii="Arial" w:hAnsi="Arial"/>
                <w:b w:val="0"/>
                <w:sz w:val="16"/>
              </w:rPr>
              <w:t>Alinear presupuesto presentado, final aprobado y senda FEDER.</w:t>
            </w:r>
          </w:p>
        </w:tc>
        <w:tc>
          <w:tcPr>
            <w:tcW w:type="dxa" w:w="1728"/>
            <w:vAlign w:val="top"/>
          </w:tcPr>
          <w:p>
            <w:pPr>
              <w:spacing w:after="0" w:before="0"/>
              <w:jc w:val="left"/>
            </w:pPr>
            <w:r>
              <w:rPr>
                <w:rFonts w:ascii="Arial" w:hAnsi="Arial"/>
              </w:rPr>
            </w:r>
            <w:r>
              <w:rPr>
                <w:rFonts w:ascii="Arial" w:hAnsi="Arial"/>
                <w:b w:val="0"/>
                <w:sz w:val="16"/>
              </w:rPr>
              <w:t>CRÍTICA</w:t>
            </w:r>
          </w:p>
        </w:tc>
      </w:tr>
      <w:tr>
        <w:trPr>
          <w:cantSplit/>
        </w:trPr>
        <w:tc>
          <w:tcPr>
            <w:tcW w:type="dxa" w:w="3311"/>
            <w:vAlign w:val="top"/>
          </w:tcPr>
          <w:p>
            <w:pPr>
              <w:spacing w:after="0" w:before="0"/>
              <w:jc w:val="left"/>
            </w:pPr>
            <w:r>
              <w:rPr>
                <w:rFonts w:ascii="Arial" w:hAnsi="Arial"/>
              </w:rPr>
            </w:r>
            <w:r>
              <w:rPr>
                <w:rFonts w:ascii="Arial" w:hAnsi="Arial"/>
                <w:b w:val="0"/>
                <w:sz w:val="16"/>
              </w:rPr>
              <w:t>Plan de aceleración 1T 2027</w:t>
            </w:r>
          </w:p>
        </w:tc>
        <w:tc>
          <w:tcPr>
            <w:tcW w:type="dxa" w:w="6768"/>
            <w:vAlign w:val="top"/>
          </w:tcPr>
          <w:p>
            <w:pPr>
              <w:spacing w:after="0" w:before="0"/>
              <w:jc w:val="left"/>
            </w:pPr>
            <w:r>
              <w:rPr>
                <w:rFonts w:ascii="Arial" w:hAnsi="Arial"/>
              </w:rPr>
            </w:r>
            <w:r>
              <w:rPr>
                <w:rFonts w:ascii="Arial" w:hAnsi="Arial"/>
                <w:b w:val="0"/>
                <w:sz w:val="16"/>
              </w:rPr>
              <w:t>Garantizar superar holgadamente el 20 % certificado.</w:t>
            </w:r>
          </w:p>
        </w:tc>
        <w:tc>
          <w:tcPr>
            <w:tcW w:type="dxa" w:w="1728"/>
            <w:vAlign w:val="top"/>
          </w:tcPr>
          <w:p>
            <w:pPr>
              <w:spacing w:after="0" w:before="0"/>
              <w:jc w:val="left"/>
            </w:pPr>
            <w:r>
              <w:rPr>
                <w:rFonts w:ascii="Arial" w:hAnsi="Arial"/>
              </w:rPr>
            </w:r>
            <w:r>
              <w:rPr>
                <w:rFonts w:ascii="Arial" w:hAnsi="Arial"/>
                <w:b w:val="0"/>
                <w:sz w:val="16"/>
              </w:rPr>
              <w:t>CRÍTICA</w:t>
            </w:r>
          </w:p>
        </w:tc>
      </w:tr>
      <w:tr>
        <w:trPr>
          <w:cantSplit/>
        </w:trPr>
        <w:tc>
          <w:tcPr>
            <w:tcW w:type="dxa" w:w="3311"/>
            <w:vAlign w:val="top"/>
          </w:tcPr>
          <w:p>
            <w:pPr>
              <w:spacing w:after="0" w:before="0"/>
              <w:jc w:val="left"/>
            </w:pPr>
            <w:r>
              <w:rPr>
                <w:rFonts w:ascii="Arial" w:hAnsi="Arial"/>
              </w:rPr>
            </w:r>
            <w:r>
              <w:rPr>
                <w:rFonts w:ascii="Arial" w:hAnsi="Arial"/>
                <w:b w:val="0"/>
                <w:sz w:val="16"/>
              </w:rPr>
              <w:t>Matriz tecnológica A3/A6</w:t>
            </w:r>
          </w:p>
        </w:tc>
        <w:tc>
          <w:tcPr>
            <w:tcW w:type="dxa" w:w="6768"/>
            <w:vAlign w:val="top"/>
          </w:tcPr>
          <w:p>
            <w:pPr>
              <w:spacing w:after="0" w:before="0"/>
              <w:jc w:val="left"/>
            </w:pPr>
            <w:r>
              <w:rPr>
                <w:rFonts w:ascii="Arial" w:hAnsi="Arial"/>
              </w:rPr>
            </w:r>
            <w:r>
              <w:rPr>
                <w:rFonts w:ascii="Arial" w:hAnsi="Arial"/>
                <w:b w:val="0"/>
                <w:sz w:val="16"/>
              </w:rPr>
              <w:t>Controlar requisitos de datos, sensores, cámaras y plataforma.</w:t>
            </w:r>
          </w:p>
        </w:tc>
        <w:tc>
          <w:tcPr>
            <w:tcW w:type="dxa" w:w="1728"/>
            <w:vAlign w:val="top"/>
          </w:tcPr>
          <w:p>
            <w:pPr>
              <w:spacing w:after="0" w:before="0"/>
              <w:jc w:val="left"/>
            </w:pPr>
            <w:r>
              <w:rPr>
                <w:rFonts w:ascii="Arial" w:hAnsi="Arial"/>
              </w:rPr>
            </w:r>
            <w:r>
              <w:rPr>
                <w:rFonts w:ascii="Arial" w:hAnsi="Arial"/>
                <w:b w:val="0"/>
                <w:sz w:val="16"/>
              </w:rPr>
              <w:t>ALTA</w:t>
            </w:r>
          </w:p>
        </w:tc>
      </w:tr>
      <w:tr>
        <w:trPr>
          <w:cantSplit/>
        </w:trPr>
        <w:tc>
          <w:tcPr>
            <w:tcW w:type="dxa" w:w="3311"/>
            <w:vAlign w:val="top"/>
          </w:tcPr>
          <w:p>
            <w:pPr>
              <w:spacing w:after="0" w:before="0"/>
              <w:jc w:val="left"/>
            </w:pPr>
            <w:r>
              <w:rPr>
                <w:rFonts w:ascii="Arial" w:hAnsi="Arial"/>
              </w:rPr>
            </w:r>
            <w:r>
              <w:rPr>
                <w:rFonts w:ascii="Arial" w:hAnsi="Arial"/>
                <w:b w:val="0"/>
                <w:sz w:val="16"/>
              </w:rPr>
              <w:t>Check-list Costas/litoral</w:t>
            </w:r>
          </w:p>
        </w:tc>
        <w:tc>
          <w:tcPr>
            <w:tcW w:type="dxa" w:w="6768"/>
            <w:vAlign w:val="top"/>
          </w:tcPr>
          <w:p>
            <w:pPr>
              <w:spacing w:after="0" w:before="0"/>
              <w:jc w:val="left"/>
            </w:pPr>
            <w:r>
              <w:rPr>
                <w:rFonts w:ascii="Arial" w:hAnsi="Arial"/>
              </w:rPr>
            </w:r>
            <w:r>
              <w:rPr>
                <w:rFonts w:ascii="Arial" w:hAnsi="Arial"/>
                <w:b w:val="0"/>
                <w:sz w:val="16"/>
              </w:rPr>
              <w:t>Verificar permisos, titularidades y afecciones de dominio público cuando proceda.</w:t>
            </w:r>
          </w:p>
        </w:tc>
        <w:tc>
          <w:tcPr>
            <w:tcW w:type="dxa" w:w="1728"/>
            <w:vAlign w:val="top"/>
          </w:tcPr>
          <w:p>
            <w:pPr>
              <w:spacing w:after="0" w:before="0"/>
              <w:jc w:val="left"/>
            </w:pPr>
            <w:r>
              <w:rPr>
                <w:rFonts w:ascii="Arial" w:hAnsi="Arial"/>
              </w:rPr>
            </w:r>
            <w:r>
              <w:rPr>
                <w:rFonts w:ascii="Arial" w:hAnsi="Arial"/>
                <w:b w:val="0"/>
                <w:sz w:val="16"/>
              </w:rPr>
              <w:t>ALTA</w:t>
            </w:r>
          </w:p>
        </w:tc>
      </w:tr>
    </w:tbl>
    <w:p/>
    <w:p>
      <w:pPr>
        <w:pStyle w:val="Heading1"/>
      </w:pPr>
      <w:r>
        <w:t>7. PAI Granada Metrópoli Suroeste</w:t>
      </w:r>
    </w:p>
    <w:p>
      <w:pPr>
        <w:pStyle w:val="Small"/>
      </w:pPr>
      <w:r>
        <w:rPr>
          <w:b/>
        </w:rPr>
        <w:t xml:space="preserve">Fuente revisada: </w:t>
      </w:r>
      <w:r>
        <w:t>Memoria-PAI-GR-MSO-presentada.pdf.</w:t>
      </w:r>
    </w:p>
    <w:p>
      <w:r>
        <w:t>El PAI Granada Metrópoli Suroeste se plantea como un modelo metropolitano dinámico, innovador y saludable. Abarca 12 municipios y se estructura en 4 proyectos transformadores y 15 actuaciones. Su objetivo es consolidar una centralidad emergente dentro del área metropolitana, integrando innovación, salud, dinamización económica, equidad, cultura y vida activa.</w:t>
      </w:r>
    </w:p>
    <w:p>
      <w:r>
        <w:rPr>
          <w:b/>
        </w:rPr>
        <w:t xml:space="preserve">Valoración Vanguardia.Tech: </w:t>
      </w:r>
      <w:r>
        <w:t xml:space="preserve">Diagnóstico general de riesgo: </w:t>
      </w:r>
      <w:r>
        <w:t>Riesgo medio-bajo, siempre que se acredite con expediente real lo declarado en la memoria. Es el PAI con mejor colchón frente al hito de marzo de 2027, pero no debe relajarse el control de permisos, licitaciones y certificaciones.</w:t>
      </w:r>
    </w:p>
    <w:p>
      <w:pPr>
        <w:pStyle w:val="Heading2"/>
      </w:pPr>
      <w:r>
        <w:t>Cumplimientos documentales identificados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168"/>
            <w:shd w:fill="1F4E79"/>
            <w:vAlign w:val="center"/>
          </w:tcPr>
          <w:p>
            <w:pPr>
              <w:spacing w:after="0" w:before="0"/>
              <w:jc w:val="left"/>
            </w:pPr>
            <w:r>
              <w:rPr>
                <w:rFonts w:ascii="Arial" w:hAnsi="Arial"/>
              </w:rPr>
            </w:r>
            <w:r>
              <w:rPr>
                <w:rFonts w:ascii="Arial" w:hAnsi="Arial"/>
                <w:b/>
                <w:color w:val="FFFFFF"/>
                <w:sz w:val="16"/>
              </w:rPr>
              <w:t>Elemento exigido o valorable</w:t>
            </w:r>
          </w:p>
        </w:tc>
        <w:tc>
          <w:tcPr>
            <w:tcW w:type="dxa" w:w="6192"/>
            <w:shd w:fill="1F4E79"/>
            <w:vAlign w:val="center"/>
          </w:tcPr>
          <w:p>
            <w:pPr>
              <w:spacing w:after="0" w:before="0"/>
              <w:jc w:val="left"/>
            </w:pPr>
            <w:r>
              <w:rPr>
                <w:rFonts w:ascii="Arial" w:hAnsi="Arial"/>
              </w:rPr>
            </w:r>
            <w:r>
              <w:rPr>
                <w:rFonts w:ascii="Arial" w:hAnsi="Arial"/>
                <w:b/>
                <w:color w:val="FFFFFF"/>
                <w:sz w:val="16"/>
              </w:rPr>
              <w:t>Evidencia en la memoria revisada</w:t>
            </w:r>
          </w:p>
        </w:tc>
        <w:tc>
          <w:tcPr>
            <w:tcW w:type="dxa" w:w="2592"/>
            <w:shd w:fill="1F4E79"/>
            <w:vAlign w:val="center"/>
          </w:tcPr>
          <w:p>
            <w:pPr>
              <w:spacing w:after="0" w:before="0"/>
              <w:jc w:val="left"/>
            </w:pPr>
            <w:r>
              <w:rPr>
                <w:rFonts w:ascii="Arial" w:hAnsi="Arial"/>
              </w:rPr>
            </w:r>
            <w:r>
              <w:rPr>
                <w:rFonts w:ascii="Arial" w:hAnsi="Arial"/>
                <w:b/>
                <w:color w:val="FFFFFF"/>
                <w:sz w:val="16"/>
              </w:rPr>
              <w:t>Valoración</w:t>
            </w:r>
          </w:p>
        </w:tc>
      </w:tr>
      <w:tr>
        <w:trPr>
          <w:cantSplit/>
        </w:trPr>
        <w:tc>
          <w:tcPr>
            <w:tcW w:type="dxa" w:w="3168"/>
            <w:vAlign w:val="top"/>
          </w:tcPr>
          <w:p>
            <w:pPr>
              <w:spacing w:after="0" w:before="0"/>
              <w:jc w:val="left"/>
            </w:pPr>
            <w:r>
              <w:rPr>
                <w:rFonts w:ascii="Arial" w:hAnsi="Arial"/>
              </w:rPr>
            </w:r>
            <w:r>
              <w:rPr>
                <w:rFonts w:ascii="Arial" w:hAnsi="Arial"/>
                <w:b w:val="0"/>
                <w:sz w:val="16"/>
              </w:rPr>
              <w:t>Aprobación</w:t>
            </w:r>
          </w:p>
        </w:tc>
        <w:tc>
          <w:tcPr>
            <w:tcW w:type="dxa" w:w="6192"/>
            <w:vAlign w:val="top"/>
          </w:tcPr>
          <w:p>
            <w:pPr>
              <w:spacing w:after="0" w:before="0"/>
              <w:jc w:val="left"/>
            </w:pPr>
            <w:r>
              <w:rPr>
                <w:rFonts w:ascii="Arial" w:hAnsi="Arial"/>
              </w:rPr>
            </w:r>
            <w:r>
              <w:rPr>
                <w:rFonts w:ascii="Arial" w:hAnsi="Arial"/>
                <w:b w:val="0"/>
                <w:sz w:val="16"/>
              </w:rPr>
              <w:t>Consta aprobación por la Junta de Gobierno de Diputación el 18/02/2025.</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Coherencia EDIL</w:t>
            </w:r>
          </w:p>
        </w:tc>
        <w:tc>
          <w:tcPr>
            <w:tcW w:type="dxa" w:w="6192"/>
            <w:vAlign w:val="top"/>
          </w:tcPr>
          <w:p>
            <w:pPr>
              <w:spacing w:after="0" w:before="0"/>
              <w:jc w:val="left"/>
            </w:pPr>
            <w:r>
              <w:rPr>
                <w:rFonts w:ascii="Arial" w:hAnsi="Arial"/>
              </w:rPr>
            </w:r>
            <w:r>
              <w:rPr>
                <w:rFonts w:ascii="Arial" w:hAnsi="Arial"/>
                <w:b w:val="0"/>
                <w:sz w:val="16"/>
              </w:rPr>
              <w:t>El PAI se concibe como despliegue de AU-GRMETROPOLI y aborda 12 desafíos de forma directa y 3 de forma indirecta.</w:t>
            </w:r>
          </w:p>
        </w:tc>
        <w:tc>
          <w:tcPr>
            <w:tcW w:type="dxa" w:w="2592"/>
            <w:vAlign w:val="top"/>
          </w:tcPr>
          <w:p>
            <w:pPr>
              <w:spacing w:after="0" w:before="0"/>
              <w:jc w:val="left"/>
            </w:pPr>
            <w:r>
              <w:rPr>
                <w:rFonts w:ascii="Arial" w:hAnsi="Arial"/>
              </w:rPr>
            </w:r>
            <w:r>
              <w:rPr>
                <w:rFonts w:ascii="Arial" w:hAnsi="Arial"/>
                <w:b w:val="0"/>
                <w:sz w:val="16"/>
              </w:rPr>
              <w:t>Punto fuerte.</w:t>
            </w:r>
          </w:p>
        </w:tc>
      </w:tr>
      <w:tr>
        <w:trPr>
          <w:cantSplit/>
        </w:trPr>
        <w:tc>
          <w:tcPr>
            <w:tcW w:type="dxa" w:w="3168"/>
            <w:vAlign w:val="top"/>
          </w:tcPr>
          <w:p>
            <w:pPr>
              <w:spacing w:after="0" w:before="0"/>
              <w:jc w:val="left"/>
            </w:pPr>
            <w:r>
              <w:rPr>
                <w:rFonts w:ascii="Arial" w:hAnsi="Arial"/>
              </w:rPr>
            </w:r>
            <w:r>
              <w:rPr>
                <w:rFonts w:ascii="Arial" w:hAnsi="Arial"/>
                <w:b w:val="0"/>
                <w:sz w:val="16"/>
              </w:rPr>
              <w:t>Enfoque integrado</w:t>
            </w:r>
          </w:p>
        </w:tc>
        <w:tc>
          <w:tcPr>
            <w:tcW w:type="dxa" w:w="6192"/>
            <w:vAlign w:val="top"/>
          </w:tcPr>
          <w:p>
            <w:pPr>
              <w:spacing w:after="0" w:before="0"/>
              <w:jc w:val="left"/>
            </w:pPr>
            <w:r>
              <w:rPr>
                <w:rFonts w:ascii="Arial" w:hAnsi="Arial"/>
              </w:rPr>
            </w:r>
            <w:r>
              <w:rPr>
                <w:rFonts w:ascii="Arial" w:hAnsi="Arial"/>
                <w:b w:val="0"/>
                <w:sz w:val="16"/>
              </w:rPr>
              <w:t>Integra dimensiones económica, social, cultural, física y medioambiental mediante cooperación intermunicipal y gobernanza multinivel.</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Viabilidad técnica</w:t>
            </w:r>
          </w:p>
        </w:tc>
        <w:tc>
          <w:tcPr>
            <w:tcW w:type="dxa" w:w="6192"/>
            <w:vAlign w:val="top"/>
          </w:tcPr>
          <w:p>
            <w:pPr>
              <w:spacing w:after="0" w:before="0"/>
              <w:jc w:val="left"/>
            </w:pPr>
            <w:r>
              <w:rPr>
                <w:rFonts w:ascii="Arial" w:hAnsi="Arial"/>
              </w:rPr>
            </w:r>
            <w:r>
              <w:rPr>
                <w:rFonts w:ascii="Arial" w:hAnsi="Arial"/>
                <w:b w:val="0"/>
                <w:sz w:val="16"/>
              </w:rPr>
              <w:t>Actuaciones sobre suelos de municipios o Diputación; servicios técnicos de Diputación han intervenido; no requieren modificación de planeamiento.</w:t>
            </w:r>
          </w:p>
        </w:tc>
        <w:tc>
          <w:tcPr>
            <w:tcW w:type="dxa" w:w="2592"/>
            <w:vAlign w:val="top"/>
          </w:tcPr>
          <w:p>
            <w:pPr>
              <w:spacing w:after="0" w:before="0"/>
              <w:jc w:val="left"/>
            </w:pPr>
            <w:r>
              <w:rPr>
                <w:rFonts w:ascii="Arial" w:hAnsi="Arial"/>
              </w:rPr>
            </w:r>
            <w:r>
              <w:rPr>
                <w:rFonts w:ascii="Arial" w:hAnsi="Arial"/>
                <w:b w:val="0"/>
                <w:sz w:val="16"/>
              </w:rPr>
              <w:t>Punto fuerte.</w:t>
            </w:r>
          </w:p>
        </w:tc>
      </w:tr>
      <w:tr>
        <w:trPr>
          <w:cantSplit/>
        </w:trPr>
        <w:tc>
          <w:tcPr>
            <w:tcW w:type="dxa" w:w="3168"/>
            <w:vAlign w:val="top"/>
          </w:tcPr>
          <w:p>
            <w:pPr>
              <w:spacing w:after="0" w:before="0"/>
              <w:jc w:val="left"/>
            </w:pPr>
            <w:r>
              <w:rPr>
                <w:rFonts w:ascii="Arial" w:hAnsi="Arial"/>
              </w:rPr>
            </w:r>
            <w:r>
              <w:rPr>
                <w:rFonts w:ascii="Arial" w:hAnsi="Arial"/>
                <w:b w:val="0"/>
                <w:sz w:val="16"/>
              </w:rPr>
              <w:t>Permisos</w:t>
            </w:r>
          </w:p>
        </w:tc>
        <w:tc>
          <w:tcPr>
            <w:tcW w:type="dxa" w:w="6192"/>
            <w:vAlign w:val="top"/>
          </w:tcPr>
          <w:p>
            <w:pPr>
              <w:spacing w:after="0" w:before="0"/>
              <w:jc w:val="left"/>
            </w:pPr>
            <w:r>
              <w:rPr>
                <w:rFonts w:ascii="Arial" w:hAnsi="Arial"/>
              </w:rPr>
            </w:r>
            <w:r>
              <w:rPr>
                <w:rFonts w:ascii="Arial" w:hAnsi="Arial"/>
                <w:b w:val="0"/>
                <w:sz w:val="16"/>
              </w:rPr>
              <w:t>Dos actuaciones que requerían aprobaciones de otros organismos constan resueltas y en licitación; solo una de 15 requiere trámites previos a licencia.</w:t>
            </w:r>
          </w:p>
        </w:tc>
        <w:tc>
          <w:tcPr>
            <w:tcW w:type="dxa" w:w="2592"/>
            <w:vAlign w:val="top"/>
          </w:tcPr>
          <w:p>
            <w:pPr>
              <w:spacing w:after="0" w:before="0"/>
              <w:jc w:val="left"/>
            </w:pPr>
            <w:r>
              <w:rPr>
                <w:rFonts w:ascii="Arial" w:hAnsi="Arial"/>
              </w:rPr>
            </w:r>
            <w:r>
              <w:rPr>
                <w:rFonts w:ascii="Arial" w:hAnsi="Arial"/>
                <w:b w:val="0"/>
                <w:sz w:val="16"/>
              </w:rPr>
              <w:t>Punto fuerte, verificar expediente.</w:t>
            </w:r>
          </w:p>
        </w:tc>
      </w:tr>
      <w:tr>
        <w:trPr>
          <w:cantSplit/>
        </w:trPr>
        <w:tc>
          <w:tcPr>
            <w:tcW w:type="dxa" w:w="3168"/>
            <w:vAlign w:val="top"/>
          </w:tcPr>
          <w:p>
            <w:pPr>
              <w:spacing w:after="0" w:before="0"/>
              <w:jc w:val="left"/>
            </w:pPr>
            <w:r>
              <w:rPr>
                <w:rFonts w:ascii="Arial" w:hAnsi="Arial"/>
              </w:rPr>
            </w:r>
            <w:r>
              <w:rPr>
                <w:rFonts w:ascii="Arial" w:hAnsi="Arial"/>
                <w:b w:val="0"/>
                <w:sz w:val="16"/>
              </w:rPr>
              <w:t>Madurez</w:t>
            </w:r>
          </w:p>
        </w:tc>
        <w:tc>
          <w:tcPr>
            <w:tcW w:type="dxa" w:w="6192"/>
            <w:vAlign w:val="top"/>
          </w:tcPr>
          <w:p>
            <w:pPr>
              <w:spacing w:after="0" w:before="0"/>
              <w:jc w:val="left"/>
            </w:pPr>
            <w:r>
              <w:rPr>
                <w:rFonts w:ascii="Arial" w:hAnsi="Arial"/>
              </w:rPr>
            </w:r>
            <w:r>
              <w:rPr>
                <w:rFonts w:ascii="Arial" w:hAnsi="Arial"/>
                <w:b w:val="0"/>
                <w:sz w:val="16"/>
              </w:rPr>
              <w:t>La memoria prevé operaciones seleccionadas por más del 80 % y certificado superior al 40 % del PAI en la ventana de 2027.</w:t>
            </w:r>
          </w:p>
        </w:tc>
        <w:tc>
          <w:tcPr>
            <w:tcW w:type="dxa" w:w="2592"/>
            <w:vAlign w:val="top"/>
          </w:tcPr>
          <w:p>
            <w:pPr>
              <w:spacing w:after="0" w:before="0"/>
              <w:jc w:val="left"/>
            </w:pPr>
            <w:r>
              <w:rPr>
                <w:rFonts w:ascii="Arial" w:hAnsi="Arial"/>
              </w:rPr>
            </w:r>
            <w:r>
              <w:rPr>
                <w:rFonts w:ascii="Arial" w:hAnsi="Arial"/>
                <w:b w:val="0"/>
                <w:sz w:val="16"/>
              </w:rPr>
              <w:t>Muy favorable si se acredita.</w:t>
            </w:r>
          </w:p>
        </w:tc>
      </w:tr>
      <w:tr>
        <w:trPr>
          <w:cantSplit/>
        </w:trPr>
        <w:tc>
          <w:tcPr>
            <w:tcW w:type="dxa" w:w="3168"/>
            <w:vAlign w:val="top"/>
          </w:tcPr>
          <w:p>
            <w:pPr>
              <w:spacing w:after="0" w:before="0"/>
              <w:jc w:val="left"/>
            </w:pPr>
            <w:r>
              <w:rPr>
                <w:rFonts w:ascii="Arial" w:hAnsi="Arial"/>
              </w:rPr>
            </w:r>
            <w:r>
              <w:rPr>
                <w:rFonts w:ascii="Arial" w:hAnsi="Arial"/>
                <w:b w:val="0"/>
                <w:sz w:val="16"/>
              </w:rPr>
              <w:t>Participación y AT</w:t>
            </w:r>
          </w:p>
        </w:tc>
        <w:tc>
          <w:tcPr>
            <w:tcW w:type="dxa" w:w="6192"/>
            <w:vAlign w:val="top"/>
          </w:tcPr>
          <w:p>
            <w:pPr>
              <w:spacing w:after="0" w:before="0"/>
              <w:jc w:val="left"/>
            </w:pPr>
            <w:r>
              <w:rPr>
                <w:rFonts w:ascii="Arial" w:hAnsi="Arial"/>
              </w:rPr>
            </w:r>
            <w:r>
              <w:rPr>
                <w:rFonts w:ascii="Arial" w:hAnsi="Arial"/>
                <w:b w:val="0"/>
                <w:sz w:val="16"/>
              </w:rPr>
              <w:t>4 sesiones de junio-julio 2024, 24 aportaciones online, reuniones con UGR y Consorcio de Transportes, presentación el 17/01/2025; prevé AT de gestión, ejecución, formación y comunicación.</w:t>
            </w:r>
          </w:p>
        </w:tc>
        <w:tc>
          <w:tcPr>
            <w:tcW w:type="dxa" w:w="2592"/>
            <w:vAlign w:val="top"/>
          </w:tcPr>
          <w:p>
            <w:pPr>
              <w:spacing w:after="0" w:before="0"/>
              <w:jc w:val="left"/>
            </w:pPr>
            <w:r>
              <w:rPr>
                <w:rFonts w:ascii="Arial" w:hAnsi="Arial"/>
              </w:rPr>
            </w:r>
            <w:r>
              <w:rPr>
                <w:rFonts w:ascii="Arial" w:hAnsi="Arial"/>
                <w:b w:val="0"/>
                <w:sz w:val="16"/>
              </w:rPr>
              <w:t>Favorable.</w:t>
            </w:r>
          </w:p>
        </w:tc>
      </w:tr>
    </w:tbl>
    <w:p/>
    <w:p>
      <w:pPr>
        <w:pStyle w:val="Heading2"/>
      </w:pPr>
      <w:r>
        <w:t>Incidencias, vacíos y urgencia de corrección</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shd w:fill="1F4E79"/>
            <w:vAlign w:val="center"/>
          </w:tcPr>
          <w:p>
            <w:pPr>
              <w:spacing w:after="0" w:before="0"/>
              <w:jc w:val="left"/>
            </w:pPr>
            <w:r>
              <w:rPr>
                <w:rFonts w:ascii="Arial" w:hAnsi="Arial"/>
              </w:rPr>
            </w:r>
            <w:r>
              <w:rPr>
                <w:rFonts w:ascii="Arial" w:hAnsi="Arial"/>
                <w:b/>
                <w:color w:val="FFFFFF"/>
                <w:sz w:val="16"/>
              </w:rPr>
              <w:t>Ámbito revisado</w:t>
            </w:r>
          </w:p>
        </w:tc>
        <w:tc>
          <w:tcPr>
            <w:tcW w:type="dxa" w:w="3744"/>
            <w:shd w:fill="1F4E79"/>
            <w:vAlign w:val="center"/>
          </w:tcPr>
          <w:p>
            <w:pPr>
              <w:spacing w:after="0" w:before="0"/>
              <w:jc w:val="left"/>
            </w:pPr>
            <w:r>
              <w:rPr>
                <w:rFonts w:ascii="Arial" w:hAnsi="Arial"/>
              </w:rPr>
            </w:r>
            <w:r>
              <w:rPr>
                <w:rFonts w:ascii="Arial" w:hAnsi="Arial"/>
                <w:b/>
                <w:color w:val="FFFFFF"/>
                <w:sz w:val="16"/>
              </w:rPr>
              <w:t>Estado según memorias</w:t>
            </w:r>
          </w:p>
        </w:tc>
        <w:tc>
          <w:tcPr>
            <w:tcW w:type="dxa" w:w="4031"/>
            <w:shd w:fill="1F4E79"/>
            <w:vAlign w:val="center"/>
          </w:tcPr>
          <w:p>
            <w:pPr>
              <w:spacing w:after="0" w:before="0"/>
              <w:jc w:val="left"/>
            </w:pPr>
            <w:r>
              <w:rPr>
                <w:rFonts w:ascii="Arial" w:hAnsi="Arial"/>
              </w:rPr>
            </w:r>
            <w:r>
              <w:rPr>
                <w:rFonts w:ascii="Arial" w:hAnsi="Arial"/>
                <w:b/>
                <w:color w:val="FFFFFF"/>
                <w:sz w:val="16"/>
              </w:rPr>
              <w:t>Riesgo principal</w:t>
            </w:r>
          </w:p>
        </w:tc>
        <w:tc>
          <w:tcPr>
            <w:tcW w:type="dxa" w:w="1584"/>
            <w:shd w:fill="1F4E79"/>
            <w:vAlign w:val="center"/>
          </w:tcPr>
          <w:p>
            <w:pPr>
              <w:spacing w:after="0" w:before="0"/>
              <w:jc w:val="left"/>
            </w:pPr>
            <w:r>
              <w:rPr>
                <w:rFonts w:ascii="Arial" w:hAnsi="Arial"/>
              </w:rPr>
            </w:r>
            <w:r>
              <w:rPr>
                <w:rFonts w:ascii="Arial" w:hAnsi="Arial"/>
                <w:b/>
                <w:color w:val="FFFFFF"/>
                <w:sz w:val="16"/>
              </w:rPr>
              <w:t>Urgencia</w:t>
            </w:r>
          </w:p>
        </w:tc>
      </w:tr>
      <w:tr>
        <w:trPr>
          <w:cantSplit/>
        </w:trPr>
        <w:tc>
          <w:tcPr>
            <w:tcW w:type="dxa" w:w="2592"/>
            <w:vAlign w:val="top"/>
          </w:tcPr>
          <w:p>
            <w:pPr>
              <w:spacing w:after="0" w:before="0"/>
              <w:jc w:val="left"/>
            </w:pPr>
            <w:r>
              <w:rPr>
                <w:rFonts w:ascii="Arial" w:hAnsi="Arial"/>
              </w:rPr>
            </w:r>
            <w:r>
              <w:rPr>
                <w:rFonts w:ascii="Arial" w:hAnsi="Arial"/>
                <w:b w:val="0"/>
                <w:sz w:val="16"/>
              </w:rPr>
              <w:t>Acreditación &gt;80 % y &gt;40 %</w:t>
            </w:r>
          </w:p>
        </w:tc>
        <w:tc>
          <w:tcPr>
            <w:tcW w:type="dxa" w:w="3744"/>
            <w:vAlign w:val="top"/>
          </w:tcPr>
          <w:p>
            <w:pPr>
              <w:spacing w:after="0" w:before="0"/>
              <w:jc w:val="left"/>
            </w:pPr>
            <w:r>
              <w:rPr>
                <w:rFonts w:ascii="Arial" w:hAnsi="Arial"/>
              </w:rPr>
            </w:r>
            <w:r>
              <w:rPr>
                <w:rFonts w:ascii="Arial" w:hAnsi="Arial"/>
                <w:b w:val="0"/>
                <w:sz w:val="16"/>
              </w:rPr>
              <w:t>La memoria declara objetivo superior al mínimo normativo.</w:t>
            </w:r>
          </w:p>
        </w:tc>
        <w:tc>
          <w:tcPr>
            <w:tcW w:type="dxa" w:w="4031"/>
            <w:vAlign w:val="top"/>
          </w:tcPr>
          <w:p>
            <w:pPr>
              <w:spacing w:after="0" w:before="0"/>
              <w:jc w:val="left"/>
            </w:pPr>
            <w:r>
              <w:rPr>
                <w:rFonts w:ascii="Arial" w:hAnsi="Arial"/>
              </w:rPr>
            </w:r>
            <w:r>
              <w:rPr>
                <w:rFonts w:ascii="Arial" w:hAnsi="Arial"/>
                <w:b w:val="0"/>
                <w:sz w:val="16"/>
              </w:rPr>
              <w:t>Debe probarse con operaciones formalmente seleccionadas, contratos, certificaciones y pagos.</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P01-1.1</w:t>
            </w:r>
          </w:p>
        </w:tc>
        <w:tc>
          <w:tcPr>
            <w:tcW w:type="dxa" w:w="3744"/>
            <w:vAlign w:val="top"/>
          </w:tcPr>
          <w:p>
            <w:pPr>
              <w:spacing w:after="0" w:before="0"/>
              <w:jc w:val="left"/>
            </w:pPr>
            <w:r>
              <w:rPr>
                <w:rFonts w:ascii="Arial" w:hAnsi="Arial"/>
              </w:rPr>
            </w:r>
            <w:r>
              <w:rPr>
                <w:rFonts w:ascii="Arial" w:hAnsi="Arial"/>
                <w:b w:val="0"/>
                <w:sz w:val="16"/>
              </w:rPr>
              <w:t>Una actuación requiere trámites previos con Fomento, Ayuntamiento de Santa Fe, Medio Ambiente y Patrimonio, con plazo total estimado hasta 8 meses.</w:t>
            </w:r>
          </w:p>
        </w:tc>
        <w:tc>
          <w:tcPr>
            <w:tcW w:type="dxa" w:w="4031"/>
            <w:vAlign w:val="top"/>
          </w:tcPr>
          <w:p>
            <w:pPr>
              <w:spacing w:after="0" w:before="0"/>
              <w:jc w:val="left"/>
            </w:pPr>
            <w:r>
              <w:rPr>
                <w:rFonts w:ascii="Arial" w:hAnsi="Arial"/>
              </w:rPr>
            </w:r>
            <w:r>
              <w:rPr>
                <w:rFonts w:ascii="Arial" w:hAnsi="Arial"/>
                <w:b w:val="0"/>
                <w:sz w:val="16"/>
              </w:rPr>
              <w:t>Control quincenal hasta resolución completa.</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Actuaciones en licitación</w:t>
            </w:r>
          </w:p>
        </w:tc>
        <w:tc>
          <w:tcPr>
            <w:tcW w:type="dxa" w:w="3744"/>
            <w:vAlign w:val="top"/>
          </w:tcPr>
          <w:p>
            <w:pPr>
              <w:spacing w:after="0" w:before="0"/>
              <w:jc w:val="left"/>
            </w:pPr>
            <w:r>
              <w:rPr>
                <w:rFonts w:ascii="Arial" w:hAnsi="Arial"/>
              </w:rPr>
            </w:r>
            <w:r>
              <w:rPr>
                <w:rFonts w:ascii="Arial" w:hAnsi="Arial"/>
                <w:b w:val="0"/>
                <w:sz w:val="16"/>
              </w:rPr>
              <w:t>Hay actuaciones maduras y licitadas.</w:t>
            </w:r>
          </w:p>
        </w:tc>
        <w:tc>
          <w:tcPr>
            <w:tcW w:type="dxa" w:w="4031"/>
            <w:vAlign w:val="top"/>
          </w:tcPr>
          <w:p>
            <w:pPr>
              <w:spacing w:after="0" w:before="0"/>
              <w:jc w:val="left"/>
            </w:pPr>
            <w:r>
              <w:rPr>
                <w:rFonts w:ascii="Arial" w:hAnsi="Arial"/>
              </w:rPr>
            </w:r>
            <w:r>
              <w:rPr>
                <w:rFonts w:ascii="Arial" w:hAnsi="Arial"/>
                <w:b w:val="0"/>
                <w:sz w:val="16"/>
              </w:rPr>
              <w:t>Verificar publicación PCSP, adjudicación, formalización, ejecución y certificación.</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Centro Cultural Metropolitano y museografía</w:t>
            </w:r>
          </w:p>
        </w:tc>
        <w:tc>
          <w:tcPr>
            <w:tcW w:type="dxa" w:w="3744"/>
            <w:vAlign w:val="top"/>
          </w:tcPr>
          <w:p>
            <w:pPr>
              <w:spacing w:after="0" w:before="0"/>
              <w:jc w:val="left"/>
            </w:pPr>
            <w:r>
              <w:rPr>
                <w:rFonts w:ascii="Arial" w:hAnsi="Arial"/>
              </w:rPr>
            </w:r>
            <w:r>
              <w:rPr>
                <w:rFonts w:ascii="Arial" w:hAnsi="Arial"/>
                <w:b w:val="0"/>
                <w:sz w:val="16"/>
              </w:rPr>
              <w:t>Incluye rehabilitación de Casa de los Blasco y museología/museografía.</w:t>
            </w:r>
          </w:p>
        </w:tc>
        <w:tc>
          <w:tcPr>
            <w:tcW w:type="dxa" w:w="4031"/>
            <w:vAlign w:val="top"/>
          </w:tcPr>
          <w:p>
            <w:pPr>
              <w:spacing w:after="0" w:before="0"/>
              <w:jc w:val="left"/>
            </w:pPr>
            <w:r>
              <w:rPr>
                <w:rFonts w:ascii="Arial" w:hAnsi="Arial"/>
              </w:rPr>
            </w:r>
            <w:r>
              <w:rPr>
                <w:rFonts w:ascii="Arial" w:hAnsi="Arial"/>
                <w:b w:val="0"/>
                <w:sz w:val="16"/>
              </w:rPr>
              <w:t>Controlar proyecto cultural, accesibilidad, contratación, propiedad intelectual y mantenimiento.</w:t>
            </w:r>
          </w:p>
        </w:tc>
        <w:tc>
          <w:tcPr>
            <w:tcW w:type="dxa" w:w="1584"/>
            <w:vAlign w:val="top"/>
            <w:shd w:fill="FFD966"/>
          </w:tcPr>
          <w:p>
            <w:pPr>
              <w:spacing w:after="0" w:before="0"/>
              <w:jc w:val="left"/>
            </w:pPr>
            <w:r>
              <w:rPr>
                <w:rFonts w:ascii="Arial" w:hAnsi="Arial"/>
              </w:rPr>
            </w:r>
            <w:r>
              <w:rPr>
                <w:rFonts w:ascii="Arial" w:hAnsi="Arial"/>
                <w:b w:val="0"/>
                <w:sz w:val="16"/>
              </w:rPr>
              <w:t>MEDIA</w:t>
            </w:r>
          </w:p>
        </w:tc>
      </w:tr>
      <w:tr>
        <w:trPr>
          <w:cantSplit/>
        </w:trPr>
        <w:tc>
          <w:tcPr>
            <w:tcW w:type="dxa" w:w="2592"/>
            <w:vAlign w:val="top"/>
          </w:tcPr>
          <w:p>
            <w:pPr>
              <w:spacing w:after="0" w:before="0"/>
              <w:jc w:val="left"/>
            </w:pPr>
            <w:r>
              <w:rPr>
                <w:rFonts w:ascii="Arial" w:hAnsi="Arial"/>
              </w:rPr>
            </w:r>
            <w:r>
              <w:rPr>
                <w:rFonts w:ascii="Arial" w:hAnsi="Arial"/>
                <w:b w:val="0"/>
                <w:sz w:val="16"/>
              </w:rPr>
              <w:t>Comunicación y participación</w:t>
            </w:r>
          </w:p>
        </w:tc>
        <w:tc>
          <w:tcPr>
            <w:tcW w:type="dxa" w:w="3744"/>
            <w:vAlign w:val="top"/>
          </w:tcPr>
          <w:p>
            <w:pPr>
              <w:spacing w:after="0" w:before="0"/>
              <w:jc w:val="left"/>
            </w:pPr>
            <w:r>
              <w:rPr>
                <w:rFonts w:ascii="Arial" w:hAnsi="Arial"/>
              </w:rPr>
            </w:r>
            <w:r>
              <w:rPr>
                <w:rFonts w:ascii="Arial" w:hAnsi="Arial"/>
                <w:b w:val="0"/>
                <w:sz w:val="16"/>
              </w:rPr>
              <w:t>Plan amplio con newsletter, dossier de prensa, actos, participación virtual y NEB.</w:t>
            </w:r>
          </w:p>
        </w:tc>
        <w:tc>
          <w:tcPr>
            <w:tcW w:type="dxa" w:w="4031"/>
            <w:vAlign w:val="top"/>
          </w:tcPr>
          <w:p>
            <w:pPr>
              <w:spacing w:after="0" w:before="0"/>
              <w:jc w:val="left"/>
            </w:pPr>
            <w:r>
              <w:rPr>
                <w:rFonts w:ascii="Arial" w:hAnsi="Arial"/>
              </w:rPr>
            </w:r>
            <w:r>
              <w:rPr>
                <w:rFonts w:ascii="Arial" w:hAnsi="Arial"/>
                <w:b w:val="0"/>
                <w:sz w:val="16"/>
              </w:rPr>
              <w:t>Convertir compromisos en calendario, responsables y evidencias.</w:t>
            </w:r>
          </w:p>
        </w:tc>
        <w:tc>
          <w:tcPr>
            <w:tcW w:type="dxa" w:w="1584"/>
            <w:vAlign w:val="top"/>
            <w:shd w:fill="FFD966"/>
          </w:tcPr>
          <w:p>
            <w:pPr>
              <w:spacing w:after="0" w:before="0"/>
              <w:jc w:val="left"/>
            </w:pPr>
            <w:r>
              <w:rPr>
                <w:rFonts w:ascii="Arial" w:hAnsi="Arial"/>
              </w:rPr>
            </w:r>
            <w:r>
              <w:rPr>
                <w:rFonts w:ascii="Arial" w:hAnsi="Arial"/>
                <w:b w:val="0"/>
                <w:sz w:val="16"/>
              </w:rPr>
              <w:t>MEDIA</w:t>
            </w:r>
          </w:p>
        </w:tc>
      </w:tr>
    </w:tbl>
    <w:p/>
    <w:p>
      <w:pPr>
        <w:pStyle w:val="Heading2"/>
      </w:pPr>
      <w:r>
        <w:t>Recomendaciones de mejora y control</w:t>
      </w:r>
    </w:p>
    <w:p>
      <w:pPr>
        <w:pStyle w:val="ListBullet"/>
      </w:pPr>
      <w:r>
        <w:t>Usar este PAI como referencia metodológica para los demás por su mayor madurez y previsión de certificación superior al umbral.</w:t>
      </w:r>
    </w:p>
    <w:p>
      <w:pPr>
        <w:pStyle w:val="ListBullet"/>
      </w:pPr>
      <w:r>
        <w:t>Acreditar documentalmente el objetivo de operaciones seleccionadas por más del 80 % y certificado superior al 40 %, con soportes contables y contractuales.</w:t>
      </w:r>
    </w:p>
    <w:p>
      <w:pPr>
        <w:pStyle w:val="ListBullet"/>
      </w:pPr>
      <w:r>
        <w:t>Abrir un expediente específico de seguimiento para P01-1.1, con fechas de solicitud, registro, órgano emisor, plazo legal, respuesta y condición pendiente.</w:t>
      </w:r>
    </w:p>
    <w:p>
      <w:pPr>
        <w:pStyle w:val="ListBullet"/>
      </w:pPr>
      <w:r>
        <w:t>Preparar un paquete de pliegos modelo para museografía, tecnología expositiva, formación digital, IA y contenidos, evitando indefiniciones técnicas.</w:t>
      </w:r>
    </w:p>
    <w:p>
      <w:pPr>
        <w:pStyle w:val="ListBullet"/>
      </w:pPr>
      <w:r>
        <w:t>Transformar el plan de participación en calendario de evidencias: actas, listas de asistencia, formularios, publicaciones, fotografías, capturas y resultados.</w:t>
      </w:r>
    </w:p>
    <w:p>
      <w:pPr>
        <w:pStyle w:val="Heading2"/>
      </w:pPr>
      <w:r>
        <w:t>Entregables de control propuestos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311"/>
            <w:shd w:fill="1F4E79"/>
            <w:vAlign w:val="center"/>
          </w:tcPr>
          <w:p>
            <w:pPr>
              <w:spacing w:after="0" w:before="0"/>
              <w:jc w:val="left"/>
            </w:pPr>
            <w:r>
              <w:rPr>
                <w:rFonts w:ascii="Arial" w:hAnsi="Arial"/>
              </w:rPr>
            </w:r>
            <w:r>
              <w:rPr>
                <w:rFonts w:ascii="Arial" w:hAnsi="Arial"/>
                <w:b/>
                <w:color w:val="FFFFFF"/>
                <w:sz w:val="16"/>
              </w:rPr>
              <w:t>Entregable</w:t>
            </w:r>
          </w:p>
        </w:tc>
        <w:tc>
          <w:tcPr>
            <w:tcW w:type="dxa" w:w="6768"/>
            <w:shd w:fill="1F4E79"/>
            <w:vAlign w:val="center"/>
          </w:tcPr>
          <w:p>
            <w:pPr>
              <w:spacing w:after="0" w:before="0"/>
              <w:jc w:val="left"/>
            </w:pPr>
            <w:r>
              <w:rPr>
                <w:rFonts w:ascii="Arial" w:hAnsi="Arial"/>
              </w:rPr>
            </w:r>
            <w:r>
              <w:rPr>
                <w:rFonts w:ascii="Arial" w:hAnsi="Arial"/>
                <w:b/>
                <w:color w:val="FFFFFF"/>
                <w:sz w:val="16"/>
              </w:rPr>
              <w:t>Finalidad</w:t>
            </w:r>
          </w:p>
        </w:tc>
        <w:tc>
          <w:tcPr>
            <w:tcW w:type="dxa" w:w="1728"/>
            <w:shd w:fill="1F4E79"/>
            <w:vAlign w:val="center"/>
          </w:tcPr>
          <w:p>
            <w:pPr>
              <w:spacing w:after="0" w:before="0"/>
              <w:jc w:val="left"/>
            </w:pPr>
            <w:r>
              <w:rPr>
                <w:rFonts w:ascii="Arial" w:hAnsi="Arial"/>
              </w:rPr>
            </w:r>
            <w:r>
              <w:rPr>
                <w:rFonts w:ascii="Arial" w:hAnsi="Arial"/>
                <w:b/>
                <w:color w:val="FFFFFF"/>
                <w:sz w:val="16"/>
              </w:rPr>
              <w:t>Prioridad</w:t>
            </w:r>
          </w:p>
        </w:tc>
      </w:tr>
      <w:tr>
        <w:trPr>
          <w:cantSplit/>
        </w:trPr>
        <w:tc>
          <w:tcPr>
            <w:tcW w:type="dxa" w:w="3311"/>
            <w:vAlign w:val="top"/>
          </w:tcPr>
          <w:p>
            <w:pPr>
              <w:spacing w:after="0" w:before="0"/>
              <w:jc w:val="left"/>
            </w:pPr>
            <w:r>
              <w:rPr>
                <w:rFonts w:ascii="Arial" w:hAnsi="Arial"/>
              </w:rPr>
            </w:r>
            <w:r>
              <w:rPr>
                <w:rFonts w:ascii="Arial" w:hAnsi="Arial"/>
                <w:b w:val="0"/>
                <w:sz w:val="16"/>
              </w:rPr>
              <w:t>Dossier de madurez 2027</w:t>
            </w:r>
          </w:p>
        </w:tc>
        <w:tc>
          <w:tcPr>
            <w:tcW w:type="dxa" w:w="6768"/>
            <w:vAlign w:val="top"/>
          </w:tcPr>
          <w:p>
            <w:pPr>
              <w:spacing w:after="0" w:before="0"/>
              <w:jc w:val="left"/>
            </w:pPr>
            <w:r>
              <w:rPr>
                <w:rFonts w:ascii="Arial" w:hAnsi="Arial"/>
              </w:rPr>
            </w:r>
            <w:r>
              <w:rPr>
                <w:rFonts w:ascii="Arial" w:hAnsi="Arial"/>
                <w:b w:val="0"/>
                <w:sz w:val="16"/>
              </w:rPr>
              <w:t>Probar &gt;80 % seleccionado y &gt;40 % certificado.</w:t>
            </w:r>
          </w:p>
        </w:tc>
        <w:tc>
          <w:tcPr>
            <w:tcW w:type="dxa" w:w="1728"/>
            <w:vAlign w:val="top"/>
          </w:tcPr>
          <w:p>
            <w:pPr>
              <w:spacing w:after="0" w:before="0"/>
              <w:jc w:val="left"/>
            </w:pPr>
            <w:r>
              <w:rPr>
                <w:rFonts w:ascii="Arial" w:hAnsi="Arial"/>
              </w:rPr>
            </w:r>
            <w:r>
              <w:rPr>
                <w:rFonts w:ascii="Arial" w:hAnsi="Arial"/>
                <w:b w:val="0"/>
                <w:sz w:val="16"/>
              </w:rPr>
              <w:t>CRÍTICA</w:t>
            </w:r>
          </w:p>
        </w:tc>
      </w:tr>
      <w:tr>
        <w:trPr>
          <w:cantSplit/>
        </w:trPr>
        <w:tc>
          <w:tcPr>
            <w:tcW w:type="dxa" w:w="3311"/>
            <w:vAlign w:val="top"/>
          </w:tcPr>
          <w:p>
            <w:pPr>
              <w:spacing w:after="0" w:before="0"/>
              <w:jc w:val="left"/>
            </w:pPr>
            <w:r>
              <w:rPr>
                <w:rFonts w:ascii="Arial" w:hAnsi="Arial"/>
              </w:rPr>
            </w:r>
            <w:r>
              <w:rPr>
                <w:rFonts w:ascii="Arial" w:hAnsi="Arial"/>
                <w:b w:val="0"/>
                <w:sz w:val="16"/>
              </w:rPr>
              <w:t>Expediente P01-1.1</w:t>
            </w:r>
          </w:p>
        </w:tc>
        <w:tc>
          <w:tcPr>
            <w:tcW w:type="dxa" w:w="6768"/>
            <w:vAlign w:val="top"/>
          </w:tcPr>
          <w:p>
            <w:pPr>
              <w:spacing w:after="0" w:before="0"/>
              <w:jc w:val="left"/>
            </w:pPr>
            <w:r>
              <w:rPr>
                <w:rFonts w:ascii="Arial" w:hAnsi="Arial"/>
              </w:rPr>
            </w:r>
            <w:r>
              <w:rPr>
                <w:rFonts w:ascii="Arial" w:hAnsi="Arial"/>
                <w:b w:val="0"/>
                <w:sz w:val="16"/>
              </w:rPr>
              <w:t>Controlar permisos acumulados y no comprometer licitación.</w:t>
            </w:r>
          </w:p>
        </w:tc>
        <w:tc>
          <w:tcPr>
            <w:tcW w:type="dxa" w:w="1728"/>
            <w:vAlign w:val="top"/>
          </w:tcPr>
          <w:p>
            <w:pPr>
              <w:spacing w:after="0" w:before="0"/>
              <w:jc w:val="left"/>
            </w:pPr>
            <w:r>
              <w:rPr>
                <w:rFonts w:ascii="Arial" w:hAnsi="Arial"/>
              </w:rPr>
            </w:r>
            <w:r>
              <w:rPr>
                <w:rFonts w:ascii="Arial" w:hAnsi="Arial"/>
                <w:b w:val="0"/>
                <w:sz w:val="16"/>
              </w:rPr>
              <w:t>ALTA</w:t>
            </w:r>
          </w:p>
        </w:tc>
      </w:tr>
      <w:tr>
        <w:trPr>
          <w:cantSplit/>
        </w:trPr>
        <w:tc>
          <w:tcPr>
            <w:tcW w:type="dxa" w:w="3311"/>
            <w:vAlign w:val="top"/>
          </w:tcPr>
          <w:p>
            <w:pPr>
              <w:spacing w:after="0" w:before="0"/>
              <w:jc w:val="left"/>
            </w:pPr>
            <w:r>
              <w:rPr>
                <w:rFonts w:ascii="Arial" w:hAnsi="Arial"/>
              </w:rPr>
            </w:r>
            <w:r>
              <w:rPr>
                <w:rFonts w:ascii="Arial" w:hAnsi="Arial"/>
                <w:b w:val="0"/>
                <w:sz w:val="16"/>
              </w:rPr>
              <w:t>Check-list museografía</w:t>
            </w:r>
          </w:p>
        </w:tc>
        <w:tc>
          <w:tcPr>
            <w:tcW w:type="dxa" w:w="6768"/>
            <w:vAlign w:val="top"/>
          </w:tcPr>
          <w:p>
            <w:pPr>
              <w:spacing w:after="0" w:before="0"/>
              <w:jc w:val="left"/>
            </w:pPr>
            <w:r>
              <w:rPr>
                <w:rFonts w:ascii="Arial" w:hAnsi="Arial"/>
              </w:rPr>
            </w:r>
            <w:r>
              <w:rPr>
                <w:rFonts w:ascii="Arial" w:hAnsi="Arial"/>
                <w:b w:val="0"/>
                <w:sz w:val="16"/>
              </w:rPr>
              <w:t>Regular propiedad intelectual, accesibilidad, mantenimiento, datos y soporte.</w:t>
            </w:r>
          </w:p>
        </w:tc>
        <w:tc>
          <w:tcPr>
            <w:tcW w:type="dxa" w:w="1728"/>
            <w:vAlign w:val="top"/>
          </w:tcPr>
          <w:p>
            <w:pPr>
              <w:spacing w:after="0" w:before="0"/>
              <w:jc w:val="left"/>
            </w:pPr>
            <w:r>
              <w:rPr>
                <w:rFonts w:ascii="Arial" w:hAnsi="Arial"/>
              </w:rPr>
            </w:r>
            <w:r>
              <w:rPr>
                <w:rFonts w:ascii="Arial" w:hAnsi="Arial"/>
                <w:b w:val="0"/>
                <w:sz w:val="16"/>
              </w:rPr>
              <w:t>MEDIA</w:t>
            </w:r>
          </w:p>
        </w:tc>
      </w:tr>
      <w:tr>
        <w:trPr>
          <w:cantSplit/>
        </w:trPr>
        <w:tc>
          <w:tcPr>
            <w:tcW w:type="dxa" w:w="3311"/>
            <w:vAlign w:val="top"/>
          </w:tcPr>
          <w:p>
            <w:pPr>
              <w:spacing w:after="0" w:before="0"/>
              <w:jc w:val="left"/>
            </w:pPr>
            <w:r>
              <w:rPr>
                <w:rFonts w:ascii="Arial" w:hAnsi="Arial"/>
              </w:rPr>
            </w:r>
            <w:r>
              <w:rPr>
                <w:rFonts w:ascii="Arial" w:hAnsi="Arial"/>
                <w:b w:val="0"/>
                <w:sz w:val="16"/>
              </w:rPr>
              <w:t>Panel de comunicación</w:t>
            </w:r>
          </w:p>
        </w:tc>
        <w:tc>
          <w:tcPr>
            <w:tcW w:type="dxa" w:w="6768"/>
            <w:vAlign w:val="top"/>
          </w:tcPr>
          <w:p>
            <w:pPr>
              <w:spacing w:after="0" w:before="0"/>
              <w:jc w:val="left"/>
            </w:pPr>
            <w:r>
              <w:rPr>
                <w:rFonts w:ascii="Arial" w:hAnsi="Arial"/>
              </w:rPr>
            </w:r>
            <w:r>
              <w:rPr>
                <w:rFonts w:ascii="Arial" w:hAnsi="Arial"/>
                <w:b w:val="0"/>
                <w:sz w:val="16"/>
              </w:rPr>
              <w:t>Registrar todas las acciones previstas y sus evidencias.</w:t>
            </w:r>
          </w:p>
        </w:tc>
        <w:tc>
          <w:tcPr>
            <w:tcW w:type="dxa" w:w="1728"/>
            <w:vAlign w:val="top"/>
          </w:tcPr>
          <w:p>
            <w:pPr>
              <w:spacing w:after="0" w:before="0"/>
              <w:jc w:val="left"/>
            </w:pPr>
            <w:r>
              <w:rPr>
                <w:rFonts w:ascii="Arial" w:hAnsi="Arial"/>
              </w:rPr>
            </w:r>
            <w:r>
              <w:rPr>
                <w:rFonts w:ascii="Arial" w:hAnsi="Arial"/>
                <w:b w:val="0"/>
                <w:sz w:val="16"/>
              </w:rPr>
              <w:t>MEDIA</w:t>
            </w:r>
          </w:p>
        </w:tc>
      </w:tr>
    </w:tbl>
    <w:p/>
    <w:p>
      <w:pPr>
        <w:pStyle w:val="Heading1"/>
      </w:pPr>
      <w:r>
        <w:t>8. PAI para el Desarrollo Sostenible de la Comarca de Guadix</w:t>
      </w:r>
    </w:p>
    <w:p>
      <w:pPr>
        <w:pStyle w:val="Small"/>
      </w:pPr>
      <w:r>
        <w:rPr>
          <w:b/>
        </w:rPr>
        <w:t xml:space="preserve">Fuente revisada: </w:t>
      </w:r>
      <w:r>
        <w:t>Memoria-PAI-Guadix-DEF.pdf.</w:t>
      </w:r>
    </w:p>
    <w:p>
      <w:r>
        <w:t>El PAI de Guadix se articula en 2 proyectos y 8 actuaciones: Geoparque UNESCO, desarrollo sostenible y lucha contra la despoblación, y Hábitat Cueva y entorno urbano, identidad colectiva y resiliencia. Abarca 24 municipios, con Guadix como cabecera, y una población de 39.365 habitantes. El PAI combina patrimonio, turismo sostenible, planificación del suelo rústico, hábitat cueva, entornos urbanos vulnerables y cohesión territorial.</w:t>
      </w:r>
    </w:p>
    <w:p>
      <w:r>
        <w:rPr>
          <w:b/>
        </w:rPr>
        <w:t xml:space="preserve">Valoración Vanguardia.Tech: </w:t>
      </w:r>
      <w:r>
        <w:t xml:space="preserve">Diagnóstico general de riesgo: </w:t>
      </w:r>
      <w:r>
        <w:t>Riesgo alto si las autorizaciones sectoriales no están ya resueltas. El PAI tiene alta coherencia territorial y una identidad muy clara, pero sus actuaciones en hábitat cueva y entornos vulnerables exigen control documental fino.</w:t>
      </w:r>
    </w:p>
    <w:p>
      <w:pPr>
        <w:pStyle w:val="Heading2"/>
      </w:pPr>
      <w:r>
        <w:t>Cumplimientos documentales identificados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168"/>
            <w:shd w:fill="1F4E79"/>
            <w:vAlign w:val="center"/>
          </w:tcPr>
          <w:p>
            <w:pPr>
              <w:spacing w:after="0" w:before="0"/>
              <w:jc w:val="left"/>
            </w:pPr>
            <w:r>
              <w:rPr>
                <w:rFonts w:ascii="Arial" w:hAnsi="Arial"/>
              </w:rPr>
            </w:r>
            <w:r>
              <w:rPr>
                <w:rFonts w:ascii="Arial" w:hAnsi="Arial"/>
                <w:b/>
                <w:color w:val="FFFFFF"/>
                <w:sz w:val="16"/>
              </w:rPr>
              <w:t>Elemento exigido o valorable</w:t>
            </w:r>
          </w:p>
        </w:tc>
        <w:tc>
          <w:tcPr>
            <w:tcW w:type="dxa" w:w="6192"/>
            <w:shd w:fill="1F4E79"/>
            <w:vAlign w:val="center"/>
          </w:tcPr>
          <w:p>
            <w:pPr>
              <w:spacing w:after="0" w:before="0"/>
              <w:jc w:val="left"/>
            </w:pPr>
            <w:r>
              <w:rPr>
                <w:rFonts w:ascii="Arial" w:hAnsi="Arial"/>
              </w:rPr>
            </w:r>
            <w:r>
              <w:rPr>
                <w:rFonts w:ascii="Arial" w:hAnsi="Arial"/>
                <w:b/>
                <w:color w:val="FFFFFF"/>
                <w:sz w:val="16"/>
              </w:rPr>
              <w:t>Evidencia en la memoria revisada</w:t>
            </w:r>
          </w:p>
        </w:tc>
        <w:tc>
          <w:tcPr>
            <w:tcW w:type="dxa" w:w="2592"/>
            <w:shd w:fill="1F4E79"/>
            <w:vAlign w:val="center"/>
          </w:tcPr>
          <w:p>
            <w:pPr>
              <w:spacing w:after="0" w:before="0"/>
              <w:jc w:val="left"/>
            </w:pPr>
            <w:r>
              <w:rPr>
                <w:rFonts w:ascii="Arial" w:hAnsi="Arial"/>
              </w:rPr>
            </w:r>
            <w:r>
              <w:rPr>
                <w:rFonts w:ascii="Arial" w:hAnsi="Arial"/>
                <w:b/>
                <w:color w:val="FFFFFF"/>
                <w:sz w:val="16"/>
              </w:rPr>
              <w:t>Valoración</w:t>
            </w:r>
          </w:p>
        </w:tc>
      </w:tr>
      <w:tr>
        <w:trPr>
          <w:cantSplit/>
        </w:trPr>
        <w:tc>
          <w:tcPr>
            <w:tcW w:type="dxa" w:w="3168"/>
            <w:vAlign w:val="top"/>
          </w:tcPr>
          <w:p>
            <w:pPr>
              <w:spacing w:after="0" w:before="0"/>
              <w:jc w:val="left"/>
            </w:pPr>
            <w:r>
              <w:rPr>
                <w:rFonts w:ascii="Arial" w:hAnsi="Arial"/>
              </w:rPr>
            </w:r>
            <w:r>
              <w:rPr>
                <w:rFonts w:ascii="Arial" w:hAnsi="Arial"/>
                <w:b w:val="0"/>
                <w:sz w:val="16"/>
              </w:rPr>
              <w:t>Alineación estratégica</w:t>
            </w:r>
          </w:p>
        </w:tc>
        <w:tc>
          <w:tcPr>
            <w:tcW w:type="dxa" w:w="6192"/>
            <w:vAlign w:val="top"/>
          </w:tcPr>
          <w:p>
            <w:pPr>
              <w:spacing w:after="0" w:before="0"/>
              <w:jc w:val="left"/>
            </w:pPr>
            <w:r>
              <w:rPr>
                <w:rFonts w:ascii="Arial" w:hAnsi="Arial"/>
              </w:rPr>
            </w:r>
            <w:r>
              <w:rPr>
                <w:rFonts w:ascii="Arial" w:hAnsi="Arial"/>
                <w:b w:val="0"/>
                <w:sz w:val="16"/>
              </w:rPr>
              <w:t>Parte de Agenda Urbana y Rural Comarcal, aprobada en 2022 y actualizada en 2025, con participación y cooperación territorial.</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Delimitación AUF</w:t>
            </w:r>
          </w:p>
        </w:tc>
        <w:tc>
          <w:tcPr>
            <w:tcW w:type="dxa" w:w="6192"/>
            <w:vAlign w:val="top"/>
          </w:tcPr>
          <w:p>
            <w:pPr>
              <w:spacing w:after="0" w:before="0"/>
              <w:jc w:val="left"/>
            </w:pPr>
            <w:r>
              <w:rPr>
                <w:rFonts w:ascii="Arial" w:hAnsi="Arial"/>
              </w:rPr>
            </w:r>
            <w:r>
              <w:rPr>
                <w:rFonts w:ascii="Arial" w:hAnsi="Arial"/>
                <w:b w:val="0"/>
                <w:sz w:val="16"/>
              </w:rPr>
              <w:t>La comarca se justifica por vínculos económicos, funcionales, culturales, medioambientales y de conectividad, articulados por Guadix.</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Programa de implementación</w:t>
            </w:r>
          </w:p>
        </w:tc>
        <w:tc>
          <w:tcPr>
            <w:tcW w:type="dxa" w:w="6192"/>
            <w:vAlign w:val="top"/>
          </w:tcPr>
          <w:p>
            <w:pPr>
              <w:spacing w:after="0" w:before="0"/>
              <w:jc w:val="left"/>
            </w:pPr>
            <w:r>
              <w:rPr>
                <w:rFonts w:ascii="Arial" w:hAnsi="Arial"/>
              </w:rPr>
            </w:r>
            <w:r>
              <w:rPr>
                <w:rFonts w:ascii="Arial" w:hAnsi="Arial"/>
                <w:b w:val="0"/>
                <w:sz w:val="16"/>
              </w:rPr>
              <w:t>2 proyectos y 8 actuaciones: centro visitantes, senderos, megalitismo, parque multiaventura, suelo rústico, hábitat cueva, centro de documentación y áreas vulnerables.</w:t>
            </w:r>
          </w:p>
        </w:tc>
        <w:tc>
          <w:tcPr>
            <w:tcW w:type="dxa" w:w="2592"/>
            <w:vAlign w:val="top"/>
          </w:tcPr>
          <w:p>
            <w:pPr>
              <w:spacing w:after="0" w:before="0"/>
              <w:jc w:val="left"/>
            </w:pPr>
            <w:r>
              <w:rPr>
                <w:rFonts w:ascii="Arial" w:hAnsi="Arial"/>
              </w:rPr>
            </w:r>
            <w:r>
              <w:rPr>
                <w:rFonts w:ascii="Arial" w:hAnsi="Arial"/>
                <w:b w:val="0"/>
                <w:sz w:val="16"/>
              </w:rPr>
              <w:t>Completo.</w:t>
            </w:r>
          </w:p>
        </w:tc>
      </w:tr>
      <w:tr>
        <w:trPr>
          <w:cantSplit/>
        </w:trPr>
        <w:tc>
          <w:tcPr>
            <w:tcW w:type="dxa" w:w="3168"/>
            <w:vAlign w:val="top"/>
          </w:tcPr>
          <w:p>
            <w:pPr>
              <w:spacing w:after="0" w:before="0"/>
              <w:jc w:val="left"/>
            </w:pPr>
            <w:r>
              <w:rPr>
                <w:rFonts w:ascii="Arial" w:hAnsi="Arial"/>
              </w:rPr>
            </w:r>
            <w:r>
              <w:rPr>
                <w:rFonts w:ascii="Arial" w:hAnsi="Arial"/>
                <w:b w:val="0"/>
                <w:sz w:val="16"/>
              </w:rPr>
              <w:t>Enfoque social y territorial</w:t>
            </w:r>
          </w:p>
        </w:tc>
        <w:tc>
          <w:tcPr>
            <w:tcW w:type="dxa" w:w="6192"/>
            <w:vAlign w:val="top"/>
          </w:tcPr>
          <w:p>
            <w:pPr>
              <w:spacing w:after="0" w:before="0"/>
              <w:jc w:val="left"/>
            </w:pPr>
            <w:r>
              <w:rPr>
                <w:rFonts w:ascii="Arial" w:hAnsi="Arial"/>
              </w:rPr>
            </w:r>
            <w:r>
              <w:rPr>
                <w:rFonts w:ascii="Arial" w:hAnsi="Arial"/>
                <w:b w:val="0"/>
                <w:sz w:val="16"/>
              </w:rPr>
              <w:t>Proyecto 2 se ubica en barrios de vivienda-cueva y entornos urbanos vulnerables, combinando aprovechamiento de recursos y dimensión social.</w:t>
            </w:r>
          </w:p>
        </w:tc>
        <w:tc>
          <w:tcPr>
            <w:tcW w:type="dxa" w:w="2592"/>
            <w:vAlign w:val="top"/>
          </w:tcPr>
          <w:p>
            <w:pPr>
              <w:spacing w:after="0" w:before="0"/>
              <w:jc w:val="left"/>
            </w:pPr>
            <w:r>
              <w:rPr>
                <w:rFonts w:ascii="Arial" w:hAnsi="Arial"/>
              </w:rPr>
            </w:r>
            <w:r>
              <w:rPr>
                <w:rFonts w:ascii="Arial" w:hAnsi="Arial"/>
                <w:b w:val="0"/>
                <w:sz w:val="16"/>
              </w:rPr>
              <w:t>Punto fuerte.</w:t>
            </w:r>
          </w:p>
        </w:tc>
      </w:tr>
      <w:tr>
        <w:trPr>
          <w:cantSplit/>
        </w:trPr>
        <w:tc>
          <w:tcPr>
            <w:tcW w:type="dxa" w:w="3168"/>
            <w:vAlign w:val="top"/>
          </w:tcPr>
          <w:p>
            <w:pPr>
              <w:spacing w:after="0" w:before="0"/>
              <w:jc w:val="left"/>
            </w:pPr>
            <w:r>
              <w:rPr>
                <w:rFonts w:ascii="Arial" w:hAnsi="Arial"/>
              </w:rPr>
            </w:r>
            <w:r>
              <w:rPr>
                <w:rFonts w:ascii="Arial" w:hAnsi="Arial"/>
                <w:b w:val="0"/>
                <w:sz w:val="16"/>
              </w:rPr>
              <w:t>Viabilidad</w:t>
            </w:r>
          </w:p>
        </w:tc>
        <w:tc>
          <w:tcPr>
            <w:tcW w:type="dxa" w:w="6192"/>
            <w:vAlign w:val="top"/>
          </w:tcPr>
          <w:p>
            <w:pPr>
              <w:spacing w:after="0" w:before="0"/>
              <w:jc w:val="left"/>
            </w:pPr>
            <w:r>
              <w:rPr>
                <w:rFonts w:ascii="Arial" w:hAnsi="Arial"/>
              </w:rPr>
            </w:r>
            <w:r>
              <w:rPr>
                <w:rFonts w:ascii="Arial" w:hAnsi="Arial"/>
                <w:b w:val="0"/>
                <w:sz w:val="16"/>
              </w:rPr>
              <w:t>Solo se identifican dos autorizaciones de otras administraciones: Medio Ambiente para senderos y Cultura para Centro de Documentación en entorno BIC.</w:t>
            </w:r>
          </w:p>
        </w:tc>
        <w:tc>
          <w:tcPr>
            <w:tcW w:type="dxa" w:w="2592"/>
            <w:vAlign w:val="top"/>
          </w:tcPr>
          <w:p>
            <w:pPr>
              <w:spacing w:after="0" w:before="0"/>
              <w:jc w:val="left"/>
            </w:pPr>
            <w:r>
              <w:rPr>
                <w:rFonts w:ascii="Arial" w:hAnsi="Arial"/>
              </w:rPr>
            </w:r>
            <w:r>
              <w:rPr>
                <w:rFonts w:ascii="Arial" w:hAnsi="Arial"/>
                <w:b w:val="0"/>
                <w:sz w:val="16"/>
              </w:rPr>
              <w:t>Favorable, si se verifican resoluciones.</w:t>
            </w:r>
          </w:p>
        </w:tc>
      </w:tr>
      <w:tr>
        <w:trPr>
          <w:cantSplit/>
        </w:trPr>
        <w:tc>
          <w:tcPr>
            <w:tcW w:type="dxa" w:w="3168"/>
            <w:vAlign w:val="top"/>
          </w:tcPr>
          <w:p>
            <w:pPr>
              <w:spacing w:after="0" w:before="0"/>
              <w:jc w:val="left"/>
            </w:pPr>
            <w:r>
              <w:rPr>
                <w:rFonts w:ascii="Arial" w:hAnsi="Arial"/>
              </w:rPr>
            </w:r>
            <w:r>
              <w:rPr>
                <w:rFonts w:ascii="Arial" w:hAnsi="Arial"/>
                <w:b w:val="0"/>
                <w:sz w:val="16"/>
              </w:rPr>
              <w:t>Participación</w:t>
            </w:r>
          </w:p>
        </w:tc>
        <w:tc>
          <w:tcPr>
            <w:tcW w:type="dxa" w:w="6192"/>
            <w:vAlign w:val="top"/>
          </w:tcPr>
          <w:p>
            <w:pPr>
              <w:spacing w:after="0" w:before="0"/>
              <w:jc w:val="left"/>
            </w:pPr>
            <w:r>
              <w:rPr>
                <w:rFonts w:ascii="Arial" w:hAnsi="Arial"/>
              </w:rPr>
            </w:r>
            <w:r>
              <w:rPr>
                <w:rFonts w:ascii="Arial" w:hAnsi="Arial"/>
                <w:b w:val="0"/>
                <w:sz w:val="16"/>
              </w:rPr>
              <w:t>Procesos en 2022 y 2024, foros, mesas temáticas, formularios y presentación del PAI el 16/01/2025.</w:t>
            </w:r>
          </w:p>
        </w:tc>
        <w:tc>
          <w:tcPr>
            <w:tcW w:type="dxa" w:w="2592"/>
            <w:vAlign w:val="top"/>
          </w:tcPr>
          <w:p>
            <w:pPr>
              <w:spacing w:after="0" w:before="0"/>
              <w:jc w:val="left"/>
            </w:pPr>
            <w:r>
              <w:rPr>
                <w:rFonts w:ascii="Arial" w:hAnsi="Arial"/>
              </w:rPr>
            </w:r>
            <w:r>
              <w:rPr>
                <w:rFonts w:ascii="Arial" w:hAnsi="Arial"/>
                <w:b w:val="0"/>
                <w:sz w:val="16"/>
              </w:rPr>
              <w:t>Favorable.</w:t>
            </w:r>
          </w:p>
        </w:tc>
      </w:tr>
    </w:tbl>
    <w:p/>
    <w:p>
      <w:pPr>
        <w:pStyle w:val="Heading2"/>
      </w:pPr>
      <w:r>
        <w:t>Incidencias, vacíos y urgencia de corrección</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shd w:fill="1F4E79"/>
            <w:vAlign w:val="center"/>
          </w:tcPr>
          <w:p>
            <w:pPr>
              <w:spacing w:after="0" w:before="0"/>
              <w:jc w:val="left"/>
            </w:pPr>
            <w:r>
              <w:rPr>
                <w:rFonts w:ascii="Arial" w:hAnsi="Arial"/>
              </w:rPr>
            </w:r>
            <w:r>
              <w:rPr>
                <w:rFonts w:ascii="Arial" w:hAnsi="Arial"/>
                <w:b/>
                <w:color w:val="FFFFFF"/>
                <w:sz w:val="16"/>
              </w:rPr>
              <w:t>Ámbito revisado</w:t>
            </w:r>
          </w:p>
        </w:tc>
        <w:tc>
          <w:tcPr>
            <w:tcW w:type="dxa" w:w="3744"/>
            <w:shd w:fill="1F4E79"/>
            <w:vAlign w:val="center"/>
          </w:tcPr>
          <w:p>
            <w:pPr>
              <w:spacing w:after="0" w:before="0"/>
              <w:jc w:val="left"/>
            </w:pPr>
            <w:r>
              <w:rPr>
                <w:rFonts w:ascii="Arial" w:hAnsi="Arial"/>
              </w:rPr>
            </w:r>
            <w:r>
              <w:rPr>
                <w:rFonts w:ascii="Arial" w:hAnsi="Arial"/>
                <w:b/>
                <w:color w:val="FFFFFF"/>
                <w:sz w:val="16"/>
              </w:rPr>
              <w:t>Estado según memorias</w:t>
            </w:r>
          </w:p>
        </w:tc>
        <w:tc>
          <w:tcPr>
            <w:tcW w:type="dxa" w:w="4031"/>
            <w:shd w:fill="1F4E79"/>
            <w:vAlign w:val="center"/>
          </w:tcPr>
          <w:p>
            <w:pPr>
              <w:spacing w:after="0" w:before="0"/>
              <w:jc w:val="left"/>
            </w:pPr>
            <w:r>
              <w:rPr>
                <w:rFonts w:ascii="Arial" w:hAnsi="Arial"/>
              </w:rPr>
            </w:r>
            <w:r>
              <w:rPr>
                <w:rFonts w:ascii="Arial" w:hAnsi="Arial"/>
                <w:b/>
                <w:color w:val="FFFFFF"/>
                <w:sz w:val="16"/>
              </w:rPr>
              <w:t>Riesgo principal</w:t>
            </w:r>
          </w:p>
        </w:tc>
        <w:tc>
          <w:tcPr>
            <w:tcW w:type="dxa" w:w="1584"/>
            <w:shd w:fill="1F4E79"/>
            <w:vAlign w:val="center"/>
          </w:tcPr>
          <w:p>
            <w:pPr>
              <w:spacing w:after="0" w:before="0"/>
              <w:jc w:val="left"/>
            </w:pPr>
            <w:r>
              <w:rPr>
                <w:rFonts w:ascii="Arial" w:hAnsi="Arial"/>
              </w:rPr>
            </w:r>
            <w:r>
              <w:rPr>
                <w:rFonts w:ascii="Arial" w:hAnsi="Arial"/>
                <w:b/>
                <w:color w:val="FFFFFF"/>
                <w:sz w:val="16"/>
              </w:rPr>
              <w:t>Urgencia</w:t>
            </w:r>
          </w:p>
        </w:tc>
      </w:tr>
      <w:tr>
        <w:trPr>
          <w:cantSplit/>
        </w:trPr>
        <w:tc>
          <w:tcPr>
            <w:tcW w:type="dxa" w:w="2592"/>
            <w:vAlign w:val="top"/>
          </w:tcPr>
          <w:p>
            <w:pPr>
              <w:spacing w:after="0" w:before="0"/>
              <w:jc w:val="left"/>
            </w:pPr>
            <w:r>
              <w:rPr>
                <w:rFonts w:ascii="Arial" w:hAnsi="Arial"/>
              </w:rPr>
            </w:r>
            <w:r>
              <w:rPr>
                <w:rFonts w:ascii="Arial" w:hAnsi="Arial"/>
                <w:b w:val="0"/>
                <w:sz w:val="16"/>
              </w:rPr>
              <w:t>Autorización Medio Ambiente</w:t>
            </w:r>
          </w:p>
        </w:tc>
        <w:tc>
          <w:tcPr>
            <w:tcW w:type="dxa" w:w="3744"/>
            <w:vAlign w:val="top"/>
          </w:tcPr>
          <w:p>
            <w:pPr>
              <w:spacing w:after="0" w:before="0"/>
              <w:jc w:val="left"/>
            </w:pPr>
            <w:r>
              <w:rPr>
                <w:rFonts w:ascii="Arial" w:hAnsi="Arial"/>
              </w:rPr>
            </w:r>
            <w:r>
              <w:rPr>
                <w:rFonts w:ascii="Arial" w:hAnsi="Arial"/>
                <w:b w:val="0"/>
                <w:sz w:val="16"/>
              </w:rPr>
              <w:t>Proyecto remitido para senderos patrimoniales, con respuesta favorable esperada en 4T 2025.</w:t>
            </w:r>
          </w:p>
        </w:tc>
        <w:tc>
          <w:tcPr>
            <w:tcW w:type="dxa" w:w="4031"/>
            <w:vAlign w:val="top"/>
          </w:tcPr>
          <w:p>
            <w:pPr>
              <w:spacing w:after="0" w:before="0"/>
              <w:jc w:val="left"/>
            </w:pPr>
            <w:r>
              <w:rPr>
                <w:rFonts w:ascii="Arial" w:hAnsi="Arial"/>
              </w:rPr>
            </w:r>
            <w:r>
              <w:rPr>
                <w:rFonts w:ascii="Arial" w:hAnsi="Arial"/>
                <w:b w:val="0"/>
                <w:sz w:val="16"/>
              </w:rPr>
              <w:t>A 03/05/2026 debe verificarse si fue concedida. Si no, riesgo de bloqueo.</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Autorización Cultura, entorno BIC</w:t>
            </w:r>
          </w:p>
        </w:tc>
        <w:tc>
          <w:tcPr>
            <w:tcW w:type="dxa" w:w="3744"/>
            <w:vAlign w:val="top"/>
          </w:tcPr>
          <w:p>
            <w:pPr>
              <w:spacing w:after="0" w:before="0"/>
              <w:jc w:val="left"/>
            </w:pPr>
            <w:r>
              <w:rPr>
                <w:rFonts w:ascii="Arial" w:hAnsi="Arial"/>
              </w:rPr>
            </w:r>
            <w:r>
              <w:rPr>
                <w:rFonts w:ascii="Arial" w:hAnsi="Arial"/>
                <w:b w:val="0"/>
                <w:sz w:val="16"/>
              </w:rPr>
              <w:t>Proyecto remitido para Centro de Documentación Hábitat-Cueva, con respuesta favorable esperada en 4T 2025.</w:t>
            </w:r>
          </w:p>
        </w:tc>
        <w:tc>
          <w:tcPr>
            <w:tcW w:type="dxa" w:w="4031"/>
            <w:vAlign w:val="top"/>
          </w:tcPr>
          <w:p>
            <w:pPr>
              <w:spacing w:after="0" w:before="0"/>
              <w:jc w:val="left"/>
            </w:pPr>
            <w:r>
              <w:rPr>
                <w:rFonts w:ascii="Arial" w:hAnsi="Arial"/>
              </w:rPr>
            </w:r>
            <w:r>
              <w:rPr>
                <w:rFonts w:ascii="Arial" w:hAnsi="Arial"/>
                <w:b w:val="0"/>
                <w:sz w:val="16"/>
              </w:rPr>
              <w:t>Debe verificarse concesión y condiciones técnicas.</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Hábitat cueva</w:t>
            </w:r>
          </w:p>
        </w:tc>
        <w:tc>
          <w:tcPr>
            <w:tcW w:type="dxa" w:w="3744"/>
            <w:vAlign w:val="top"/>
          </w:tcPr>
          <w:p>
            <w:pPr>
              <w:spacing w:after="0" w:before="0"/>
              <w:jc w:val="left"/>
            </w:pPr>
            <w:r>
              <w:rPr>
                <w:rFonts w:ascii="Arial" w:hAnsi="Arial"/>
              </w:rPr>
            </w:r>
            <w:r>
              <w:rPr>
                <w:rFonts w:ascii="Arial" w:hAnsi="Arial"/>
                <w:b w:val="0"/>
                <w:sz w:val="16"/>
              </w:rPr>
              <w:t>Actuación compleja en múltiples municipios y barrios, con infraestructuras urbanas, saneamiento, energía, telecomunicaciones, pavimentación, drenaje y residuos.</w:t>
            </w:r>
          </w:p>
        </w:tc>
        <w:tc>
          <w:tcPr>
            <w:tcW w:type="dxa" w:w="4031"/>
            <w:vAlign w:val="top"/>
          </w:tcPr>
          <w:p>
            <w:pPr>
              <w:spacing w:after="0" w:before="0"/>
              <w:jc w:val="left"/>
            </w:pPr>
            <w:r>
              <w:rPr>
                <w:rFonts w:ascii="Arial" w:hAnsi="Arial"/>
              </w:rPr>
            </w:r>
            <w:r>
              <w:rPr>
                <w:rFonts w:ascii="Arial" w:hAnsi="Arial"/>
                <w:b w:val="0"/>
                <w:sz w:val="16"/>
              </w:rPr>
              <w:t>Riesgo de fragmentación técnica y de titularidades.</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Zonas vulnerables</w:t>
            </w:r>
          </w:p>
        </w:tc>
        <w:tc>
          <w:tcPr>
            <w:tcW w:type="dxa" w:w="3744"/>
            <w:vAlign w:val="top"/>
          </w:tcPr>
          <w:p>
            <w:pPr>
              <w:spacing w:after="0" w:before="0"/>
              <w:jc w:val="left"/>
            </w:pPr>
            <w:r>
              <w:rPr>
                <w:rFonts w:ascii="Arial" w:hAnsi="Arial"/>
              </w:rPr>
            </w:r>
            <w:r>
              <w:rPr>
                <w:rFonts w:ascii="Arial" w:hAnsi="Arial"/>
                <w:b w:val="0"/>
                <w:sz w:val="16"/>
              </w:rPr>
              <w:t>La memoria identifica entornos con marginalidad y exclusión social.</w:t>
            </w:r>
          </w:p>
        </w:tc>
        <w:tc>
          <w:tcPr>
            <w:tcW w:type="dxa" w:w="4031"/>
            <w:vAlign w:val="top"/>
          </w:tcPr>
          <w:p>
            <w:pPr>
              <w:spacing w:after="0" w:before="0"/>
              <w:jc w:val="left"/>
            </w:pPr>
            <w:r>
              <w:rPr>
                <w:rFonts w:ascii="Arial" w:hAnsi="Arial"/>
              </w:rPr>
            </w:r>
            <w:r>
              <w:rPr>
                <w:rFonts w:ascii="Arial" w:hAnsi="Arial"/>
                <w:b w:val="0"/>
                <w:sz w:val="16"/>
              </w:rPr>
              <w:t>Debe conservarse evidencia socioeconómica y criterios de selección para justificar impacto.</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Modelo de explotación turística</w:t>
            </w:r>
          </w:p>
        </w:tc>
        <w:tc>
          <w:tcPr>
            <w:tcW w:type="dxa" w:w="3744"/>
            <w:vAlign w:val="top"/>
          </w:tcPr>
          <w:p>
            <w:pPr>
              <w:spacing w:after="0" w:before="0"/>
              <w:jc w:val="left"/>
            </w:pPr>
            <w:r>
              <w:rPr>
                <w:rFonts w:ascii="Arial" w:hAnsi="Arial"/>
              </w:rPr>
            </w:r>
            <w:r>
              <w:rPr>
                <w:rFonts w:ascii="Arial" w:hAnsi="Arial"/>
                <w:b w:val="0"/>
                <w:sz w:val="16"/>
              </w:rPr>
              <w:t>Geoparque, centro de visitantes, megalitismo y parque multiaventura requieren operación posterior.</w:t>
            </w:r>
          </w:p>
        </w:tc>
        <w:tc>
          <w:tcPr>
            <w:tcW w:type="dxa" w:w="4031"/>
            <w:vAlign w:val="top"/>
          </w:tcPr>
          <w:p>
            <w:pPr>
              <w:spacing w:after="0" w:before="0"/>
              <w:jc w:val="left"/>
            </w:pPr>
            <w:r>
              <w:rPr>
                <w:rFonts w:ascii="Arial" w:hAnsi="Arial"/>
              </w:rPr>
            </w:r>
            <w:r>
              <w:rPr>
                <w:rFonts w:ascii="Arial" w:hAnsi="Arial"/>
                <w:b w:val="0"/>
                <w:sz w:val="16"/>
              </w:rPr>
              <w:t>Definir mantenimiento, ingresos, gestión, seguridad y responsabilidad.</w:t>
            </w:r>
          </w:p>
        </w:tc>
        <w:tc>
          <w:tcPr>
            <w:tcW w:type="dxa" w:w="1584"/>
            <w:vAlign w:val="top"/>
            <w:shd w:fill="FFD966"/>
          </w:tcPr>
          <w:p>
            <w:pPr>
              <w:spacing w:after="0" w:before="0"/>
              <w:jc w:val="left"/>
            </w:pPr>
            <w:r>
              <w:rPr>
                <w:rFonts w:ascii="Arial" w:hAnsi="Arial"/>
              </w:rPr>
            </w:r>
            <w:r>
              <w:rPr>
                <w:rFonts w:ascii="Arial" w:hAnsi="Arial"/>
                <w:b w:val="0"/>
                <w:sz w:val="16"/>
              </w:rPr>
              <w:t>MEDIA</w:t>
            </w:r>
          </w:p>
        </w:tc>
      </w:tr>
    </w:tbl>
    <w:p/>
    <w:p>
      <w:pPr>
        <w:pStyle w:val="Heading2"/>
      </w:pPr>
      <w:r>
        <w:t>Recomendaciones de mejora y control</w:t>
      </w:r>
    </w:p>
    <w:p>
      <w:pPr>
        <w:pStyle w:val="ListBullet"/>
      </w:pPr>
      <w:r>
        <w:t>Solicitar de forma inmediata copia de las resoluciones de Medio Ambiente y Cultura, o estado actualizado del expediente con registro, fecha y órgano responsable.</w:t>
      </w:r>
    </w:p>
    <w:p>
      <w:pPr>
        <w:pStyle w:val="ListBullet"/>
      </w:pPr>
      <w:r>
        <w:t>Separar las actuaciones de hábitat cueva por municipio, barrio, infraestructura y contrato, para evitar expedientes excesivamente agregados y poco controlables.</w:t>
      </w:r>
    </w:p>
    <w:p>
      <w:pPr>
        <w:pStyle w:val="ListBullet"/>
      </w:pPr>
      <w:r>
        <w:t>Crear una matriz de titularidad y disponibilidad de suelo, inmuebles y espacios urbanos antes de redactar pliegos.</w:t>
      </w:r>
    </w:p>
    <w:p>
      <w:pPr>
        <w:pStyle w:val="ListBullet"/>
      </w:pPr>
      <w:r>
        <w:t>Incorporar un plan de explotación y mantenimiento para Centro de Visitantes, Centro de Documentación, Parque Multiaventura y Centro de Interpretación.</w:t>
      </w:r>
    </w:p>
    <w:p>
      <w:pPr>
        <w:pStyle w:val="ListBullet"/>
      </w:pPr>
      <w:r>
        <w:t>Blindar la elegibilidad de actuaciones en zonas vulnerables con indicadores sociales, fotografías, planos, diagnóstico y actas municipales.</w:t>
      </w:r>
    </w:p>
    <w:p>
      <w:pPr>
        <w:pStyle w:val="Heading2"/>
      </w:pPr>
      <w:r>
        <w:t>Entregables de control propuestos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311"/>
            <w:shd w:fill="1F4E79"/>
            <w:vAlign w:val="center"/>
          </w:tcPr>
          <w:p>
            <w:pPr>
              <w:spacing w:after="0" w:before="0"/>
              <w:jc w:val="left"/>
            </w:pPr>
            <w:r>
              <w:rPr>
                <w:rFonts w:ascii="Arial" w:hAnsi="Arial"/>
              </w:rPr>
            </w:r>
            <w:r>
              <w:rPr>
                <w:rFonts w:ascii="Arial" w:hAnsi="Arial"/>
                <w:b/>
                <w:color w:val="FFFFFF"/>
                <w:sz w:val="16"/>
              </w:rPr>
              <w:t>Entregable</w:t>
            </w:r>
          </w:p>
        </w:tc>
        <w:tc>
          <w:tcPr>
            <w:tcW w:type="dxa" w:w="6768"/>
            <w:shd w:fill="1F4E79"/>
            <w:vAlign w:val="center"/>
          </w:tcPr>
          <w:p>
            <w:pPr>
              <w:spacing w:after="0" w:before="0"/>
              <w:jc w:val="left"/>
            </w:pPr>
            <w:r>
              <w:rPr>
                <w:rFonts w:ascii="Arial" w:hAnsi="Arial"/>
              </w:rPr>
            </w:r>
            <w:r>
              <w:rPr>
                <w:rFonts w:ascii="Arial" w:hAnsi="Arial"/>
                <w:b/>
                <w:color w:val="FFFFFF"/>
                <w:sz w:val="16"/>
              </w:rPr>
              <w:t>Finalidad</w:t>
            </w:r>
          </w:p>
        </w:tc>
        <w:tc>
          <w:tcPr>
            <w:tcW w:type="dxa" w:w="1728"/>
            <w:shd w:fill="1F4E79"/>
            <w:vAlign w:val="center"/>
          </w:tcPr>
          <w:p>
            <w:pPr>
              <w:spacing w:after="0" w:before="0"/>
              <w:jc w:val="left"/>
            </w:pPr>
            <w:r>
              <w:rPr>
                <w:rFonts w:ascii="Arial" w:hAnsi="Arial"/>
              </w:rPr>
            </w:r>
            <w:r>
              <w:rPr>
                <w:rFonts w:ascii="Arial" w:hAnsi="Arial"/>
                <w:b/>
                <w:color w:val="FFFFFF"/>
                <w:sz w:val="16"/>
              </w:rPr>
              <w:t>Prioridad</w:t>
            </w:r>
          </w:p>
        </w:tc>
      </w:tr>
      <w:tr>
        <w:trPr>
          <w:cantSplit/>
        </w:trPr>
        <w:tc>
          <w:tcPr>
            <w:tcW w:type="dxa" w:w="3311"/>
            <w:vAlign w:val="top"/>
          </w:tcPr>
          <w:p>
            <w:pPr>
              <w:spacing w:after="0" w:before="0"/>
              <w:jc w:val="left"/>
            </w:pPr>
            <w:r>
              <w:rPr>
                <w:rFonts w:ascii="Arial" w:hAnsi="Arial"/>
              </w:rPr>
            </w:r>
            <w:r>
              <w:rPr>
                <w:rFonts w:ascii="Arial" w:hAnsi="Arial"/>
                <w:b w:val="0"/>
                <w:sz w:val="16"/>
              </w:rPr>
              <w:t>Informe de autorizaciones 4T 2025</w:t>
            </w:r>
          </w:p>
        </w:tc>
        <w:tc>
          <w:tcPr>
            <w:tcW w:type="dxa" w:w="6768"/>
            <w:vAlign w:val="top"/>
          </w:tcPr>
          <w:p>
            <w:pPr>
              <w:spacing w:after="0" w:before="0"/>
              <w:jc w:val="left"/>
            </w:pPr>
            <w:r>
              <w:rPr>
                <w:rFonts w:ascii="Arial" w:hAnsi="Arial"/>
              </w:rPr>
            </w:r>
            <w:r>
              <w:rPr>
                <w:rFonts w:ascii="Arial" w:hAnsi="Arial"/>
                <w:b w:val="0"/>
                <w:sz w:val="16"/>
              </w:rPr>
              <w:t>Verificar Medio Ambiente y Cultura.</w:t>
            </w:r>
          </w:p>
        </w:tc>
        <w:tc>
          <w:tcPr>
            <w:tcW w:type="dxa" w:w="1728"/>
            <w:vAlign w:val="top"/>
          </w:tcPr>
          <w:p>
            <w:pPr>
              <w:spacing w:after="0" w:before="0"/>
              <w:jc w:val="left"/>
            </w:pPr>
            <w:r>
              <w:rPr>
                <w:rFonts w:ascii="Arial" w:hAnsi="Arial"/>
              </w:rPr>
            </w:r>
            <w:r>
              <w:rPr>
                <w:rFonts w:ascii="Arial" w:hAnsi="Arial"/>
                <w:b w:val="0"/>
                <w:sz w:val="16"/>
              </w:rPr>
              <w:t>CRÍTICA</w:t>
            </w:r>
          </w:p>
        </w:tc>
      </w:tr>
      <w:tr>
        <w:trPr>
          <w:cantSplit/>
        </w:trPr>
        <w:tc>
          <w:tcPr>
            <w:tcW w:type="dxa" w:w="3311"/>
            <w:vAlign w:val="top"/>
          </w:tcPr>
          <w:p>
            <w:pPr>
              <w:spacing w:after="0" w:before="0"/>
              <w:jc w:val="left"/>
            </w:pPr>
            <w:r>
              <w:rPr>
                <w:rFonts w:ascii="Arial" w:hAnsi="Arial"/>
              </w:rPr>
            </w:r>
            <w:r>
              <w:rPr>
                <w:rFonts w:ascii="Arial" w:hAnsi="Arial"/>
                <w:b w:val="0"/>
                <w:sz w:val="16"/>
              </w:rPr>
              <w:t>Matriz barrios cueva</w:t>
            </w:r>
          </w:p>
        </w:tc>
        <w:tc>
          <w:tcPr>
            <w:tcW w:type="dxa" w:w="6768"/>
            <w:vAlign w:val="top"/>
          </w:tcPr>
          <w:p>
            <w:pPr>
              <w:spacing w:after="0" w:before="0"/>
              <w:jc w:val="left"/>
            </w:pPr>
            <w:r>
              <w:rPr>
                <w:rFonts w:ascii="Arial" w:hAnsi="Arial"/>
              </w:rPr>
            </w:r>
            <w:r>
              <w:rPr>
                <w:rFonts w:ascii="Arial" w:hAnsi="Arial"/>
                <w:b w:val="0"/>
                <w:sz w:val="16"/>
              </w:rPr>
              <w:t>Controlar municipio, barrio, infraestructura, proyecto y contrato.</w:t>
            </w:r>
          </w:p>
        </w:tc>
        <w:tc>
          <w:tcPr>
            <w:tcW w:type="dxa" w:w="1728"/>
            <w:vAlign w:val="top"/>
          </w:tcPr>
          <w:p>
            <w:pPr>
              <w:spacing w:after="0" w:before="0"/>
              <w:jc w:val="left"/>
            </w:pPr>
            <w:r>
              <w:rPr>
                <w:rFonts w:ascii="Arial" w:hAnsi="Arial"/>
              </w:rPr>
            </w:r>
            <w:r>
              <w:rPr>
                <w:rFonts w:ascii="Arial" w:hAnsi="Arial"/>
                <w:b w:val="0"/>
                <w:sz w:val="16"/>
              </w:rPr>
              <w:t>ALTA</w:t>
            </w:r>
          </w:p>
        </w:tc>
      </w:tr>
      <w:tr>
        <w:trPr>
          <w:cantSplit/>
        </w:trPr>
        <w:tc>
          <w:tcPr>
            <w:tcW w:type="dxa" w:w="3311"/>
            <w:vAlign w:val="top"/>
          </w:tcPr>
          <w:p>
            <w:pPr>
              <w:spacing w:after="0" w:before="0"/>
              <w:jc w:val="left"/>
            </w:pPr>
            <w:r>
              <w:rPr>
                <w:rFonts w:ascii="Arial" w:hAnsi="Arial"/>
              </w:rPr>
            </w:r>
            <w:r>
              <w:rPr>
                <w:rFonts w:ascii="Arial" w:hAnsi="Arial"/>
                <w:b w:val="0"/>
                <w:sz w:val="16"/>
              </w:rPr>
              <w:t>Plan explotación Geoparque</w:t>
            </w:r>
          </w:p>
        </w:tc>
        <w:tc>
          <w:tcPr>
            <w:tcW w:type="dxa" w:w="6768"/>
            <w:vAlign w:val="top"/>
          </w:tcPr>
          <w:p>
            <w:pPr>
              <w:spacing w:after="0" w:before="0"/>
              <w:jc w:val="left"/>
            </w:pPr>
            <w:r>
              <w:rPr>
                <w:rFonts w:ascii="Arial" w:hAnsi="Arial"/>
              </w:rPr>
            </w:r>
            <w:r>
              <w:rPr>
                <w:rFonts w:ascii="Arial" w:hAnsi="Arial"/>
                <w:b w:val="0"/>
                <w:sz w:val="16"/>
              </w:rPr>
              <w:t>Garantizar sostenibilidad de equipamientos turísticos.</w:t>
            </w:r>
          </w:p>
        </w:tc>
        <w:tc>
          <w:tcPr>
            <w:tcW w:type="dxa" w:w="1728"/>
            <w:vAlign w:val="top"/>
          </w:tcPr>
          <w:p>
            <w:pPr>
              <w:spacing w:after="0" w:before="0"/>
              <w:jc w:val="left"/>
            </w:pPr>
            <w:r>
              <w:rPr>
                <w:rFonts w:ascii="Arial" w:hAnsi="Arial"/>
              </w:rPr>
            </w:r>
            <w:r>
              <w:rPr>
                <w:rFonts w:ascii="Arial" w:hAnsi="Arial"/>
                <w:b w:val="0"/>
                <w:sz w:val="16"/>
              </w:rPr>
              <w:t>MEDIA</w:t>
            </w:r>
          </w:p>
        </w:tc>
      </w:tr>
      <w:tr>
        <w:trPr>
          <w:cantSplit/>
        </w:trPr>
        <w:tc>
          <w:tcPr>
            <w:tcW w:type="dxa" w:w="3311"/>
            <w:vAlign w:val="top"/>
          </w:tcPr>
          <w:p>
            <w:pPr>
              <w:spacing w:after="0" w:before="0"/>
              <w:jc w:val="left"/>
            </w:pPr>
            <w:r>
              <w:rPr>
                <w:rFonts w:ascii="Arial" w:hAnsi="Arial"/>
              </w:rPr>
            </w:r>
            <w:r>
              <w:rPr>
                <w:rFonts w:ascii="Arial" w:hAnsi="Arial"/>
                <w:b w:val="0"/>
                <w:sz w:val="16"/>
              </w:rPr>
              <w:t>Dossier social de vulnerabilidad</w:t>
            </w:r>
          </w:p>
        </w:tc>
        <w:tc>
          <w:tcPr>
            <w:tcW w:type="dxa" w:w="6768"/>
            <w:vAlign w:val="top"/>
          </w:tcPr>
          <w:p>
            <w:pPr>
              <w:spacing w:after="0" w:before="0"/>
              <w:jc w:val="left"/>
            </w:pPr>
            <w:r>
              <w:rPr>
                <w:rFonts w:ascii="Arial" w:hAnsi="Arial"/>
              </w:rPr>
            </w:r>
            <w:r>
              <w:rPr>
                <w:rFonts w:ascii="Arial" w:hAnsi="Arial"/>
                <w:b w:val="0"/>
                <w:sz w:val="16"/>
              </w:rPr>
              <w:t>Probar el impacto en zonas desfavorecidas.</w:t>
            </w:r>
          </w:p>
        </w:tc>
        <w:tc>
          <w:tcPr>
            <w:tcW w:type="dxa" w:w="1728"/>
            <w:vAlign w:val="top"/>
          </w:tcPr>
          <w:p>
            <w:pPr>
              <w:spacing w:after="0" w:before="0"/>
              <w:jc w:val="left"/>
            </w:pPr>
            <w:r>
              <w:rPr>
                <w:rFonts w:ascii="Arial" w:hAnsi="Arial"/>
              </w:rPr>
            </w:r>
            <w:r>
              <w:rPr>
                <w:rFonts w:ascii="Arial" w:hAnsi="Arial"/>
                <w:b w:val="0"/>
                <w:sz w:val="16"/>
              </w:rPr>
              <w:t>ALTA</w:t>
            </w:r>
          </w:p>
        </w:tc>
      </w:tr>
    </w:tbl>
    <w:p/>
    <w:p>
      <w:pPr>
        <w:pStyle w:val="Heading1"/>
      </w:pPr>
      <w:r>
        <w:t>9. PAI EDIL Alpujarra, Estrategia de Desarrollo Integrado de la Alpujarra</w:t>
      </w:r>
    </w:p>
    <w:p>
      <w:pPr>
        <w:pStyle w:val="Small"/>
      </w:pPr>
      <w:r>
        <w:rPr>
          <w:b/>
        </w:rPr>
        <w:t xml:space="preserve">Fuente revisada: </w:t>
      </w:r>
      <w:r>
        <w:t>20250224_PAI-Alpujarra_FINAL_DIPGRA.pdf.</w:t>
      </w:r>
    </w:p>
    <w:p>
      <w:r>
        <w:t>El PAI Alpujarra parte de la EDIL Alpujarra y de la Agenda Urbana y Rural 2030, iniciada en 2021, aprobada a finales de 2022 y actualizada en 2024. La memoria estructura el PAI en 3 proyectos: Reactiva Alpujarra, Regenera Alpujarra y Revitaliza Alpujarra. El presupuesto total es de 10.000.000 euros, con 8.500.000 euros FEDER y 1.500.000 euros de aportación provincial.</w:t>
      </w:r>
    </w:p>
    <w:p>
      <w:r>
        <w:rPr>
          <w:b/>
        </w:rPr>
        <w:t xml:space="preserve">Valoración Vanguardia.Tech: </w:t>
      </w:r>
      <w:r>
        <w:t xml:space="preserve">Diagnóstico general de riesgo: </w:t>
      </w:r>
      <w:r>
        <w:t>Riesgo alto. Es un PAI bien armado estratégicamente, pero la senda a 31/03/2027 ofrece escaso margen y muchas actuaciones tienen potencial afección ambiental, patrimonial, social o de explotación.</w:t>
      </w:r>
    </w:p>
    <w:p>
      <w:pPr>
        <w:pStyle w:val="Heading2"/>
      </w:pPr>
      <w:r>
        <w:t>Cumplimientos documentales identificados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168"/>
            <w:shd w:fill="1F4E79"/>
            <w:vAlign w:val="center"/>
          </w:tcPr>
          <w:p>
            <w:pPr>
              <w:spacing w:after="0" w:before="0"/>
              <w:jc w:val="left"/>
            </w:pPr>
            <w:r>
              <w:rPr>
                <w:rFonts w:ascii="Arial" w:hAnsi="Arial"/>
              </w:rPr>
            </w:r>
            <w:r>
              <w:rPr>
                <w:rFonts w:ascii="Arial" w:hAnsi="Arial"/>
                <w:b/>
                <w:color w:val="FFFFFF"/>
                <w:sz w:val="16"/>
              </w:rPr>
              <w:t>Elemento exigido o valorable</w:t>
            </w:r>
          </w:p>
        </w:tc>
        <w:tc>
          <w:tcPr>
            <w:tcW w:type="dxa" w:w="6192"/>
            <w:shd w:fill="1F4E79"/>
            <w:vAlign w:val="center"/>
          </w:tcPr>
          <w:p>
            <w:pPr>
              <w:spacing w:after="0" w:before="0"/>
              <w:jc w:val="left"/>
            </w:pPr>
            <w:r>
              <w:rPr>
                <w:rFonts w:ascii="Arial" w:hAnsi="Arial"/>
              </w:rPr>
            </w:r>
            <w:r>
              <w:rPr>
                <w:rFonts w:ascii="Arial" w:hAnsi="Arial"/>
                <w:b/>
                <w:color w:val="FFFFFF"/>
                <w:sz w:val="16"/>
              </w:rPr>
              <w:t>Evidencia en la memoria revisada</w:t>
            </w:r>
          </w:p>
        </w:tc>
        <w:tc>
          <w:tcPr>
            <w:tcW w:type="dxa" w:w="2592"/>
            <w:shd w:fill="1F4E79"/>
            <w:vAlign w:val="center"/>
          </w:tcPr>
          <w:p>
            <w:pPr>
              <w:spacing w:after="0" w:before="0"/>
              <w:jc w:val="left"/>
            </w:pPr>
            <w:r>
              <w:rPr>
                <w:rFonts w:ascii="Arial" w:hAnsi="Arial"/>
              </w:rPr>
            </w:r>
            <w:r>
              <w:rPr>
                <w:rFonts w:ascii="Arial" w:hAnsi="Arial"/>
                <w:b/>
                <w:color w:val="FFFFFF"/>
                <w:sz w:val="16"/>
              </w:rPr>
              <w:t>Valoración</w:t>
            </w:r>
          </w:p>
        </w:tc>
      </w:tr>
      <w:tr>
        <w:trPr>
          <w:cantSplit/>
        </w:trPr>
        <w:tc>
          <w:tcPr>
            <w:tcW w:type="dxa" w:w="3168"/>
            <w:vAlign w:val="top"/>
          </w:tcPr>
          <w:p>
            <w:pPr>
              <w:spacing w:after="0" w:before="0"/>
              <w:jc w:val="left"/>
            </w:pPr>
            <w:r>
              <w:rPr>
                <w:rFonts w:ascii="Arial" w:hAnsi="Arial"/>
              </w:rPr>
            </w:r>
            <w:r>
              <w:rPr>
                <w:rFonts w:ascii="Arial" w:hAnsi="Arial"/>
                <w:b w:val="0"/>
                <w:sz w:val="16"/>
              </w:rPr>
              <w:t>Alineación estratégica</w:t>
            </w:r>
          </w:p>
        </w:tc>
        <w:tc>
          <w:tcPr>
            <w:tcW w:type="dxa" w:w="6192"/>
            <w:vAlign w:val="top"/>
          </w:tcPr>
          <w:p>
            <w:pPr>
              <w:spacing w:after="0" w:before="0"/>
              <w:jc w:val="left"/>
            </w:pPr>
            <w:r>
              <w:rPr>
                <w:rFonts w:ascii="Arial" w:hAnsi="Arial"/>
              </w:rPr>
            </w:r>
            <w:r>
              <w:rPr>
                <w:rFonts w:ascii="Arial" w:hAnsi="Arial"/>
                <w:b w:val="0"/>
                <w:sz w:val="16"/>
              </w:rPr>
              <w:t>EDIL con 3 ejes estratégicos, 12 objetivos específicos y 14 líneas de actuación; coherencia con AUE y AUR.</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Proceso de selección</w:t>
            </w:r>
          </w:p>
        </w:tc>
        <w:tc>
          <w:tcPr>
            <w:tcW w:type="dxa" w:w="6192"/>
            <w:vAlign w:val="top"/>
          </w:tcPr>
          <w:p>
            <w:pPr>
              <w:spacing w:after="0" w:before="0"/>
              <w:jc w:val="left"/>
            </w:pPr>
            <w:r>
              <w:rPr>
                <w:rFonts w:ascii="Arial" w:hAnsi="Arial"/>
              </w:rPr>
            </w:r>
            <w:r>
              <w:rPr>
                <w:rFonts w:ascii="Arial" w:hAnsi="Arial"/>
                <w:b w:val="0"/>
                <w:sz w:val="16"/>
              </w:rPr>
              <w:t>La memoria indica análisis exhaustivo, jerarquización individual, madurez técnica y participación ciudadana como criterios.</w:t>
            </w:r>
          </w:p>
        </w:tc>
        <w:tc>
          <w:tcPr>
            <w:tcW w:type="dxa" w:w="2592"/>
            <w:vAlign w:val="top"/>
          </w:tcPr>
          <w:p>
            <w:pPr>
              <w:spacing w:after="0" w:before="0"/>
              <w:jc w:val="left"/>
            </w:pPr>
            <w:r>
              <w:rPr>
                <w:rFonts w:ascii="Arial" w:hAnsi="Arial"/>
              </w:rPr>
            </w:r>
            <w:r>
              <w:rPr>
                <w:rFonts w:ascii="Arial" w:hAnsi="Arial"/>
                <w:b w:val="0"/>
                <w:sz w:val="16"/>
              </w:rPr>
              <w:t>Punto fuerte.</w:t>
            </w:r>
          </w:p>
        </w:tc>
      </w:tr>
      <w:tr>
        <w:trPr>
          <w:cantSplit/>
        </w:trPr>
        <w:tc>
          <w:tcPr>
            <w:tcW w:type="dxa" w:w="3168"/>
            <w:vAlign w:val="top"/>
          </w:tcPr>
          <w:p>
            <w:pPr>
              <w:spacing w:after="0" w:before="0"/>
              <w:jc w:val="left"/>
            </w:pPr>
            <w:r>
              <w:rPr>
                <w:rFonts w:ascii="Arial" w:hAnsi="Arial"/>
              </w:rPr>
            </w:r>
            <w:r>
              <w:rPr>
                <w:rFonts w:ascii="Arial" w:hAnsi="Arial"/>
                <w:b w:val="0"/>
                <w:sz w:val="16"/>
              </w:rPr>
              <w:t>Aprobación</w:t>
            </w:r>
          </w:p>
        </w:tc>
        <w:tc>
          <w:tcPr>
            <w:tcW w:type="dxa" w:w="6192"/>
            <w:vAlign w:val="top"/>
          </w:tcPr>
          <w:p>
            <w:pPr>
              <w:spacing w:after="0" w:before="0"/>
              <w:jc w:val="left"/>
            </w:pPr>
            <w:r>
              <w:rPr>
                <w:rFonts w:ascii="Arial" w:hAnsi="Arial"/>
              </w:rPr>
            </w:r>
            <w:r>
              <w:rPr>
                <w:rFonts w:ascii="Arial" w:hAnsi="Arial"/>
                <w:b w:val="0"/>
                <w:sz w:val="16"/>
              </w:rPr>
              <w:t>Aprobado por Junta de Gobierno de Diputación el 18/02/2025, con presupuesto de 10.000.000 euros y ayuda FEDER solicitada de 8.500.000 euros.</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Programa de implementación</w:t>
            </w:r>
          </w:p>
        </w:tc>
        <w:tc>
          <w:tcPr>
            <w:tcW w:type="dxa" w:w="6192"/>
            <w:vAlign w:val="top"/>
          </w:tcPr>
          <w:p>
            <w:pPr>
              <w:spacing w:after="0" w:before="0"/>
              <w:jc w:val="left"/>
            </w:pPr>
            <w:r>
              <w:rPr>
                <w:rFonts w:ascii="Arial" w:hAnsi="Arial"/>
              </w:rPr>
            </w:r>
            <w:r>
              <w:rPr>
                <w:rFonts w:ascii="Arial" w:hAnsi="Arial"/>
                <w:b w:val="0"/>
                <w:sz w:val="16"/>
              </w:rPr>
              <w:t>3 proyectos con actuaciones en Gran Senda de Sierra Nevada, Ruta Boabdil, artesanía, micología, albergue, Mímesis Alpujarra, residuos, viviendas sociales, apartamentos tutelados, centros formativos y FP.</w:t>
            </w:r>
          </w:p>
        </w:tc>
        <w:tc>
          <w:tcPr>
            <w:tcW w:type="dxa" w:w="2592"/>
            <w:vAlign w:val="top"/>
          </w:tcPr>
          <w:p>
            <w:pPr>
              <w:spacing w:after="0" w:before="0"/>
              <w:jc w:val="left"/>
            </w:pPr>
            <w:r>
              <w:rPr>
                <w:rFonts w:ascii="Arial" w:hAnsi="Arial"/>
              </w:rPr>
            </w:r>
            <w:r>
              <w:rPr>
                <w:rFonts w:ascii="Arial" w:hAnsi="Arial"/>
                <w:b w:val="0"/>
                <w:sz w:val="16"/>
              </w:rPr>
              <w:t>Completo.</w:t>
            </w:r>
          </w:p>
        </w:tc>
      </w:tr>
      <w:tr>
        <w:trPr>
          <w:cantSplit/>
        </w:trPr>
        <w:tc>
          <w:tcPr>
            <w:tcW w:type="dxa" w:w="3168"/>
            <w:vAlign w:val="top"/>
          </w:tcPr>
          <w:p>
            <w:pPr>
              <w:spacing w:after="0" w:before="0"/>
              <w:jc w:val="left"/>
            </w:pPr>
            <w:r>
              <w:rPr>
                <w:rFonts w:ascii="Arial" w:hAnsi="Arial"/>
              </w:rPr>
            </w:r>
            <w:r>
              <w:rPr>
                <w:rFonts w:ascii="Arial" w:hAnsi="Arial"/>
                <w:b w:val="0"/>
                <w:sz w:val="16"/>
              </w:rPr>
              <w:t>Presupuesto por tipo</w:t>
            </w:r>
          </w:p>
        </w:tc>
        <w:tc>
          <w:tcPr>
            <w:tcW w:type="dxa" w:w="6192"/>
            <w:vAlign w:val="top"/>
          </w:tcPr>
          <w:p>
            <w:pPr>
              <w:spacing w:after="0" w:before="0"/>
              <w:jc w:val="left"/>
            </w:pPr>
            <w:r>
              <w:rPr>
                <w:rFonts w:ascii="Arial" w:hAnsi="Arial"/>
              </w:rPr>
            </w:r>
            <w:r>
              <w:rPr>
                <w:rFonts w:ascii="Arial" w:hAnsi="Arial"/>
                <w:b w:val="0"/>
                <w:sz w:val="16"/>
              </w:rPr>
              <w:t>TA2 556.000 euros, TA3 1.816.382 euros, TA4 7.627.618 euros, total 10.000.000 euros.</w:t>
            </w:r>
          </w:p>
        </w:tc>
        <w:tc>
          <w:tcPr>
            <w:tcW w:type="dxa" w:w="2592"/>
            <w:vAlign w:val="top"/>
          </w:tcPr>
          <w:p>
            <w:pPr>
              <w:spacing w:after="0" w:before="0"/>
              <w:jc w:val="left"/>
            </w:pPr>
            <w:r>
              <w:rPr>
                <w:rFonts w:ascii="Arial" w:hAnsi="Arial"/>
              </w:rPr>
            </w:r>
            <w:r>
              <w:rPr>
                <w:rFonts w:ascii="Arial" w:hAnsi="Arial"/>
                <w:b w:val="0"/>
                <w:sz w:val="16"/>
              </w:rPr>
              <w:t>Cuadrado en memoria.</w:t>
            </w:r>
          </w:p>
        </w:tc>
      </w:tr>
      <w:tr>
        <w:trPr>
          <w:cantSplit/>
        </w:trPr>
        <w:tc>
          <w:tcPr>
            <w:tcW w:type="dxa" w:w="3168"/>
            <w:vAlign w:val="top"/>
          </w:tcPr>
          <w:p>
            <w:pPr>
              <w:spacing w:after="0" w:before="0"/>
              <w:jc w:val="left"/>
            </w:pPr>
            <w:r>
              <w:rPr>
                <w:rFonts w:ascii="Arial" w:hAnsi="Arial"/>
              </w:rPr>
            </w:r>
            <w:r>
              <w:rPr>
                <w:rFonts w:ascii="Arial" w:hAnsi="Arial"/>
                <w:b w:val="0"/>
                <w:sz w:val="16"/>
              </w:rPr>
              <w:t>Senda financiera</w:t>
            </w:r>
          </w:p>
        </w:tc>
        <w:tc>
          <w:tcPr>
            <w:tcW w:type="dxa" w:w="6192"/>
            <w:vAlign w:val="top"/>
          </w:tcPr>
          <w:p>
            <w:pPr>
              <w:spacing w:after="0" w:before="0"/>
              <w:jc w:val="left"/>
            </w:pPr>
            <w:r>
              <w:rPr>
                <w:rFonts w:ascii="Arial" w:hAnsi="Arial"/>
              </w:rPr>
            </w:r>
            <w:r>
              <w:rPr>
                <w:rFonts w:ascii="Arial" w:hAnsi="Arial"/>
                <w:b w:val="0"/>
                <w:sz w:val="16"/>
              </w:rPr>
              <w:t>La memoria indica 20,82 % del total del PAI a 31/03/2027.</w:t>
            </w:r>
          </w:p>
        </w:tc>
        <w:tc>
          <w:tcPr>
            <w:tcW w:type="dxa" w:w="2592"/>
            <w:vAlign w:val="top"/>
          </w:tcPr>
          <w:p>
            <w:pPr>
              <w:spacing w:after="0" w:before="0"/>
              <w:jc w:val="left"/>
            </w:pPr>
            <w:r>
              <w:rPr>
                <w:rFonts w:ascii="Arial" w:hAnsi="Arial"/>
              </w:rPr>
            </w:r>
            <w:r>
              <w:rPr>
                <w:rFonts w:ascii="Arial" w:hAnsi="Arial"/>
                <w:b w:val="0"/>
                <w:sz w:val="16"/>
              </w:rPr>
              <w:t>Cumple umbral mínimo, con poco margen.</w:t>
            </w:r>
          </w:p>
        </w:tc>
      </w:tr>
    </w:tbl>
    <w:p/>
    <w:p>
      <w:pPr>
        <w:pStyle w:val="Heading2"/>
      </w:pPr>
      <w:r>
        <w:t>Incidencias, vacíos y urgencia de corrección</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shd w:fill="1F4E79"/>
            <w:vAlign w:val="center"/>
          </w:tcPr>
          <w:p>
            <w:pPr>
              <w:spacing w:after="0" w:before="0"/>
              <w:jc w:val="left"/>
            </w:pPr>
            <w:r>
              <w:rPr>
                <w:rFonts w:ascii="Arial" w:hAnsi="Arial"/>
              </w:rPr>
            </w:r>
            <w:r>
              <w:rPr>
                <w:rFonts w:ascii="Arial" w:hAnsi="Arial"/>
                <w:b/>
                <w:color w:val="FFFFFF"/>
                <w:sz w:val="16"/>
              </w:rPr>
              <w:t>Ámbito revisado</w:t>
            </w:r>
          </w:p>
        </w:tc>
        <w:tc>
          <w:tcPr>
            <w:tcW w:type="dxa" w:w="3744"/>
            <w:shd w:fill="1F4E79"/>
            <w:vAlign w:val="center"/>
          </w:tcPr>
          <w:p>
            <w:pPr>
              <w:spacing w:after="0" w:before="0"/>
              <w:jc w:val="left"/>
            </w:pPr>
            <w:r>
              <w:rPr>
                <w:rFonts w:ascii="Arial" w:hAnsi="Arial"/>
              </w:rPr>
            </w:r>
            <w:r>
              <w:rPr>
                <w:rFonts w:ascii="Arial" w:hAnsi="Arial"/>
                <w:b/>
                <w:color w:val="FFFFFF"/>
                <w:sz w:val="16"/>
              </w:rPr>
              <w:t>Estado según memorias</w:t>
            </w:r>
          </w:p>
        </w:tc>
        <w:tc>
          <w:tcPr>
            <w:tcW w:type="dxa" w:w="4031"/>
            <w:shd w:fill="1F4E79"/>
            <w:vAlign w:val="center"/>
          </w:tcPr>
          <w:p>
            <w:pPr>
              <w:spacing w:after="0" w:before="0"/>
              <w:jc w:val="left"/>
            </w:pPr>
            <w:r>
              <w:rPr>
                <w:rFonts w:ascii="Arial" w:hAnsi="Arial"/>
              </w:rPr>
            </w:r>
            <w:r>
              <w:rPr>
                <w:rFonts w:ascii="Arial" w:hAnsi="Arial"/>
                <w:b/>
                <w:color w:val="FFFFFF"/>
                <w:sz w:val="16"/>
              </w:rPr>
              <w:t>Riesgo principal</w:t>
            </w:r>
          </w:p>
        </w:tc>
        <w:tc>
          <w:tcPr>
            <w:tcW w:type="dxa" w:w="1584"/>
            <w:shd w:fill="1F4E79"/>
            <w:vAlign w:val="center"/>
          </w:tcPr>
          <w:p>
            <w:pPr>
              <w:spacing w:after="0" w:before="0"/>
              <w:jc w:val="left"/>
            </w:pPr>
            <w:r>
              <w:rPr>
                <w:rFonts w:ascii="Arial" w:hAnsi="Arial"/>
              </w:rPr>
            </w:r>
            <w:r>
              <w:rPr>
                <w:rFonts w:ascii="Arial" w:hAnsi="Arial"/>
                <w:b/>
                <w:color w:val="FFFFFF"/>
                <w:sz w:val="16"/>
              </w:rPr>
              <w:t>Urgencia</w:t>
            </w:r>
          </w:p>
        </w:tc>
      </w:tr>
      <w:tr>
        <w:trPr>
          <w:cantSplit/>
        </w:trPr>
        <w:tc>
          <w:tcPr>
            <w:tcW w:type="dxa" w:w="2592"/>
            <w:vAlign w:val="top"/>
          </w:tcPr>
          <w:p>
            <w:pPr>
              <w:spacing w:after="0" w:before="0"/>
              <w:jc w:val="left"/>
            </w:pPr>
            <w:r>
              <w:rPr>
                <w:rFonts w:ascii="Arial" w:hAnsi="Arial"/>
              </w:rPr>
            </w:r>
            <w:r>
              <w:rPr>
                <w:rFonts w:ascii="Arial" w:hAnsi="Arial"/>
                <w:b w:val="0"/>
                <w:sz w:val="16"/>
              </w:rPr>
              <w:t>Margen 31/03/2027</w:t>
            </w:r>
          </w:p>
        </w:tc>
        <w:tc>
          <w:tcPr>
            <w:tcW w:type="dxa" w:w="3744"/>
            <w:vAlign w:val="top"/>
          </w:tcPr>
          <w:p>
            <w:pPr>
              <w:spacing w:after="0" w:before="0"/>
              <w:jc w:val="left"/>
            </w:pPr>
            <w:r>
              <w:rPr>
                <w:rFonts w:ascii="Arial" w:hAnsi="Arial"/>
              </w:rPr>
            </w:r>
            <w:r>
              <w:rPr>
                <w:rFonts w:ascii="Arial" w:hAnsi="Arial"/>
                <w:b w:val="0"/>
                <w:sz w:val="16"/>
              </w:rPr>
              <w:t>20,82 % del total del PAI previsto a 31/03/2027.</w:t>
            </w:r>
          </w:p>
        </w:tc>
        <w:tc>
          <w:tcPr>
            <w:tcW w:type="dxa" w:w="4031"/>
            <w:vAlign w:val="top"/>
          </w:tcPr>
          <w:p>
            <w:pPr>
              <w:spacing w:after="0" w:before="0"/>
              <w:jc w:val="left"/>
            </w:pPr>
            <w:r>
              <w:rPr>
                <w:rFonts w:ascii="Arial" w:hAnsi="Arial"/>
              </w:rPr>
            </w:r>
            <w:r>
              <w:rPr>
                <w:rFonts w:ascii="Arial" w:hAnsi="Arial"/>
                <w:b w:val="0"/>
                <w:sz w:val="16"/>
              </w:rPr>
              <w:t>Colchón muy estrecho frente al mínimo del 20 %. Cualquier retraso compromete el hito.</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Selección 70 % gasto</w:t>
            </w:r>
          </w:p>
        </w:tc>
        <w:tc>
          <w:tcPr>
            <w:tcW w:type="dxa" w:w="3744"/>
            <w:vAlign w:val="top"/>
          </w:tcPr>
          <w:p>
            <w:pPr>
              <w:spacing w:after="0" w:before="0"/>
              <w:jc w:val="left"/>
            </w:pPr>
            <w:r>
              <w:rPr>
                <w:rFonts w:ascii="Arial" w:hAnsi="Arial"/>
              </w:rPr>
            </w:r>
            <w:r>
              <w:rPr>
                <w:rFonts w:ascii="Arial" w:hAnsi="Arial"/>
                <w:b w:val="0"/>
                <w:sz w:val="16"/>
              </w:rPr>
              <w:t>La memoria detalla actuaciones, pero debe acreditarse selección formal de operaciones.</w:t>
            </w:r>
          </w:p>
        </w:tc>
        <w:tc>
          <w:tcPr>
            <w:tcW w:type="dxa" w:w="4031"/>
            <w:vAlign w:val="top"/>
          </w:tcPr>
          <w:p>
            <w:pPr>
              <w:spacing w:after="0" w:before="0"/>
              <w:jc w:val="left"/>
            </w:pPr>
            <w:r>
              <w:rPr>
                <w:rFonts w:ascii="Arial" w:hAnsi="Arial"/>
              </w:rPr>
            </w:r>
            <w:r>
              <w:rPr>
                <w:rFonts w:ascii="Arial" w:hAnsi="Arial"/>
                <w:b w:val="0"/>
                <w:sz w:val="16"/>
              </w:rPr>
              <w:t>La certificación del 20,82 % no sustituye el requisito de 70 % seleccionado.</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Parque Nacional/Natural y rutas</w:t>
            </w:r>
          </w:p>
        </w:tc>
        <w:tc>
          <w:tcPr>
            <w:tcW w:type="dxa" w:w="3744"/>
            <w:vAlign w:val="top"/>
          </w:tcPr>
          <w:p>
            <w:pPr>
              <w:spacing w:after="0" w:before="0"/>
              <w:jc w:val="left"/>
            </w:pPr>
            <w:r>
              <w:rPr>
                <w:rFonts w:ascii="Arial" w:hAnsi="Arial"/>
              </w:rPr>
            </w:r>
            <w:r>
              <w:rPr>
                <w:rFonts w:ascii="Arial" w:hAnsi="Arial"/>
                <w:b w:val="0"/>
                <w:sz w:val="16"/>
              </w:rPr>
              <w:t>Gran Senda, Ruta Boabdil, miradores, tirolina y sendas pueden requerir autorizaciones ambientales, patrimoniales o de seguridad.</w:t>
            </w:r>
          </w:p>
        </w:tc>
        <w:tc>
          <w:tcPr>
            <w:tcW w:type="dxa" w:w="4031"/>
            <w:vAlign w:val="top"/>
          </w:tcPr>
          <w:p>
            <w:pPr>
              <w:spacing w:after="0" w:before="0"/>
              <w:jc w:val="left"/>
            </w:pPr>
            <w:r>
              <w:rPr>
                <w:rFonts w:ascii="Arial" w:hAnsi="Arial"/>
              </w:rPr>
            </w:r>
            <w:r>
              <w:rPr>
                <w:rFonts w:ascii="Arial" w:hAnsi="Arial"/>
                <w:b w:val="0"/>
                <w:sz w:val="16"/>
              </w:rPr>
              <w:t>Verificación sectorial urgente.</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Vivienda y equipamientos sociales</w:t>
            </w:r>
          </w:p>
        </w:tc>
        <w:tc>
          <w:tcPr>
            <w:tcW w:type="dxa" w:w="3744"/>
            <w:vAlign w:val="top"/>
          </w:tcPr>
          <w:p>
            <w:pPr>
              <w:spacing w:after="0" w:before="0"/>
              <w:jc w:val="left"/>
            </w:pPr>
            <w:r>
              <w:rPr>
                <w:rFonts w:ascii="Arial" w:hAnsi="Arial"/>
              </w:rPr>
            </w:r>
            <w:r>
              <w:rPr>
                <w:rFonts w:ascii="Arial" w:hAnsi="Arial"/>
                <w:b w:val="0"/>
                <w:sz w:val="16"/>
              </w:rPr>
              <w:t>Viviendas sociales, apartamentos tutelados, centro formativo y FP.</w:t>
            </w:r>
          </w:p>
        </w:tc>
        <w:tc>
          <w:tcPr>
            <w:tcW w:type="dxa" w:w="4031"/>
            <w:vAlign w:val="top"/>
          </w:tcPr>
          <w:p>
            <w:pPr>
              <w:spacing w:after="0" w:before="0"/>
              <w:jc w:val="left"/>
            </w:pPr>
            <w:r>
              <w:rPr>
                <w:rFonts w:ascii="Arial" w:hAnsi="Arial"/>
              </w:rPr>
            </w:r>
            <w:r>
              <w:rPr>
                <w:rFonts w:ascii="Arial" w:hAnsi="Arial"/>
                <w:b w:val="0"/>
                <w:sz w:val="16"/>
              </w:rPr>
              <w:t>Exigen titularidad, licencia, normativa sectorial, accesibilidad, modelo de gestión y explotación.</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Tecnología y digitalización rural</w:t>
            </w:r>
          </w:p>
        </w:tc>
        <w:tc>
          <w:tcPr>
            <w:tcW w:type="dxa" w:w="3744"/>
            <w:vAlign w:val="top"/>
          </w:tcPr>
          <w:p>
            <w:pPr>
              <w:spacing w:after="0" w:before="0"/>
              <w:jc w:val="left"/>
            </w:pPr>
            <w:r>
              <w:rPr>
                <w:rFonts w:ascii="Arial" w:hAnsi="Arial"/>
              </w:rPr>
            </w:r>
            <w:r>
              <w:rPr>
                <w:rFonts w:ascii="Arial" w:hAnsi="Arial"/>
                <w:b w:val="0"/>
                <w:sz w:val="16"/>
              </w:rPr>
              <w:t>La memoria menciona transición digital, smart e IA como instrumentos.</w:t>
            </w:r>
          </w:p>
        </w:tc>
        <w:tc>
          <w:tcPr>
            <w:tcW w:type="dxa" w:w="4031"/>
            <w:vAlign w:val="top"/>
          </w:tcPr>
          <w:p>
            <w:pPr>
              <w:spacing w:after="0" w:before="0"/>
              <w:jc w:val="left"/>
            </w:pPr>
            <w:r>
              <w:rPr>
                <w:rFonts w:ascii="Arial" w:hAnsi="Arial"/>
              </w:rPr>
            </w:r>
            <w:r>
              <w:rPr>
                <w:rFonts w:ascii="Arial" w:hAnsi="Arial"/>
                <w:b w:val="0"/>
                <w:sz w:val="16"/>
              </w:rPr>
              <w:t>Cualquier contratación tecnológica debe tener pliego específico y control de datos.</w:t>
            </w:r>
          </w:p>
        </w:tc>
        <w:tc>
          <w:tcPr>
            <w:tcW w:type="dxa" w:w="1584"/>
            <w:vAlign w:val="top"/>
            <w:shd w:fill="FFD966"/>
          </w:tcPr>
          <w:p>
            <w:pPr>
              <w:spacing w:after="0" w:before="0"/>
              <w:jc w:val="left"/>
            </w:pPr>
            <w:r>
              <w:rPr>
                <w:rFonts w:ascii="Arial" w:hAnsi="Arial"/>
              </w:rPr>
            </w:r>
            <w:r>
              <w:rPr>
                <w:rFonts w:ascii="Arial" w:hAnsi="Arial"/>
                <w:b w:val="0"/>
                <w:sz w:val="16"/>
              </w:rPr>
              <w:t>MEDIA</w:t>
            </w:r>
          </w:p>
        </w:tc>
      </w:tr>
    </w:tbl>
    <w:p/>
    <w:p>
      <w:pPr>
        <w:pStyle w:val="Heading2"/>
      </w:pPr>
      <w:r>
        <w:t>Recomendaciones de mejora y control</w:t>
      </w:r>
    </w:p>
    <w:p>
      <w:pPr>
        <w:pStyle w:val="ListBullet"/>
      </w:pPr>
      <w:r>
        <w:t>Aumentar el colchón de ejecución certificable antes de marzo de 2027, priorizando actuaciones de baja complejidad administrativa y alto grado de madurez.</w:t>
      </w:r>
    </w:p>
    <w:p>
      <w:pPr>
        <w:pStyle w:val="ListBullet"/>
      </w:pPr>
      <w:r>
        <w:t>Separar el control entre certificación del 20 % y selección formal del 70 %, porque son obligaciones distintas.</w:t>
      </w:r>
    </w:p>
    <w:p>
      <w:pPr>
        <w:pStyle w:val="ListBullet"/>
      </w:pPr>
      <w:r>
        <w:t>Crear una matriz de permisos para cada tramo, mirador, equipamiento, tirolina, ermita, centro y vivienda, identificando órgano competente y fecha límite.</w:t>
      </w:r>
    </w:p>
    <w:p>
      <w:pPr>
        <w:pStyle w:val="ListBullet"/>
      </w:pPr>
      <w:r>
        <w:t>Priorizar contratación de actuaciones con proyectos técnicos ya disponibles y sin afecciones ambientales o patrimoniales complejas.</w:t>
      </w:r>
    </w:p>
    <w:p>
      <w:pPr>
        <w:pStyle w:val="ListBullet"/>
      </w:pPr>
      <w:r>
        <w:t>Preparar modelos de explotación y mantenimiento para albergues, centros, residencias, viviendas y equipamientos turísticos o formativos.</w:t>
      </w:r>
    </w:p>
    <w:p>
      <w:pPr>
        <w:pStyle w:val="Heading2"/>
      </w:pPr>
      <w:r>
        <w:t>Entregables de control propuestos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311"/>
            <w:shd w:fill="1F4E79"/>
            <w:vAlign w:val="center"/>
          </w:tcPr>
          <w:p>
            <w:pPr>
              <w:spacing w:after="0" w:before="0"/>
              <w:jc w:val="left"/>
            </w:pPr>
            <w:r>
              <w:rPr>
                <w:rFonts w:ascii="Arial" w:hAnsi="Arial"/>
              </w:rPr>
            </w:r>
            <w:r>
              <w:rPr>
                <w:rFonts w:ascii="Arial" w:hAnsi="Arial"/>
                <w:b/>
                <w:color w:val="FFFFFF"/>
                <w:sz w:val="16"/>
              </w:rPr>
              <w:t>Entregable</w:t>
            </w:r>
          </w:p>
        </w:tc>
        <w:tc>
          <w:tcPr>
            <w:tcW w:type="dxa" w:w="6768"/>
            <w:shd w:fill="1F4E79"/>
            <w:vAlign w:val="center"/>
          </w:tcPr>
          <w:p>
            <w:pPr>
              <w:spacing w:after="0" w:before="0"/>
              <w:jc w:val="left"/>
            </w:pPr>
            <w:r>
              <w:rPr>
                <w:rFonts w:ascii="Arial" w:hAnsi="Arial"/>
              </w:rPr>
            </w:r>
            <w:r>
              <w:rPr>
                <w:rFonts w:ascii="Arial" w:hAnsi="Arial"/>
                <w:b/>
                <w:color w:val="FFFFFF"/>
                <w:sz w:val="16"/>
              </w:rPr>
              <w:t>Finalidad</w:t>
            </w:r>
          </w:p>
        </w:tc>
        <w:tc>
          <w:tcPr>
            <w:tcW w:type="dxa" w:w="1728"/>
            <w:shd w:fill="1F4E79"/>
            <w:vAlign w:val="center"/>
          </w:tcPr>
          <w:p>
            <w:pPr>
              <w:spacing w:after="0" w:before="0"/>
              <w:jc w:val="left"/>
            </w:pPr>
            <w:r>
              <w:rPr>
                <w:rFonts w:ascii="Arial" w:hAnsi="Arial"/>
              </w:rPr>
            </w:r>
            <w:r>
              <w:rPr>
                <w:rFonts w:ascii="Arial" w:hAnsi="Arial"/>
                <w:b/>
                <w:color w:val="FFFFFF"/>
                <w:sz w:val="16"/>
              </w:rPr>
              <w:t>Prioridad</w:t>
            </w:r>
          </w:p>
        </w:tc>
      </w:tr>
      <w:tr>
        <w:trPr>
          <w:cantSplit/>
        </w:trPr>
        <w:tc>
          <w:tcPr>
            <w:tcW w:type="dxa" w:w="3311"/>
            <w:vAlign w:val="top"/>
          </w:tcPr>
          <w:p>
            <w:pPr>
              <w:spacing w:after="0" w:before="0"/>
              <w:jc w:val="left"/>
            </w:pPr>
            <w:r>
              <w:rPr>
                <w:rFonts w:ascii="Arial" w:hAnsi="Arial"/>
              </w:rPr>
            </w:r>
            <w:r>
              <w:rPr>
                <w:rFonts w:ascii="Arial" w:hAnsi="Arial"/>
                <w:b w:val="0"/>
                <w:sz w:val="16"/>
              </w:rPr>
              <w:t>Plan de choque 20/70</w:t>
            </w:r>
          </w:p>
        </w:tc>
        <w:tc>
          <w:tcPr>
            <w:tcW w:type="dxa" w:w="6768"/>
            <w:vAlign w:val="top"/>
          </w:tcPr>
          <w:p>
            <w:pPr>
              <w:spacing w:after="0" w:before="0"/>
              <w:jc w:val="left"/>
            </w:pPr>
            <w:r>
              <w:rPr>
                <w:rFonts w:ascii="Arial" w:hAnsi="Arial"/>
              </w:rPr>
            </w:r>
            <w:r>
              <w:rPr>
                <w:rFonts w:ascii="Arial" w:hAnsi="Arial"/>
                <w:b w:val="0"/>
                <w:sz w:val="16"/>
              </w:rPr>
              <w:t>Evitar que el 20,82 % quede por debajo del umbral por retrasos.</w:t>
            </w:r>
          </w:p>
        </w:tc>
        <w:tc>
          <w:tcPr>
            <w:tcW w:type="dxa" w:w="1728"/>
            <w:vAlign w:val="top"/>
          </w:tcPr>
          <w:p>
            <w:pPr>
              <w:spacing w:after="0" w:before="0"/>
              <w:jc w:val="left"/>
            </w:pPr>
            <w:r>
              <w:rPr>
                <w:rFonts w:ascii="Arial" w:hAnsi="Arial"/>
              </w:rPr>
            </w:r>
            <w:r>
              <w:rPr>
                <w:rFonts w:ascii="Arial" w:hAnsi="Arial"/>
                <w:b w:val="0"/>
                <w:sz w:val="16"/>
              </w:rPr>
              <w:t>CRÍTICA</w:t>
            </w:r>
          </w:p>
        </w:tc>
      </w:tr>
      <w:tr>
        <w:trPr>
          <w:cantSplit/>
        </w:trPr>
        <w:tc>
          <w:tcPr>
            <w:tcW w:type="dxa" w:w="3311"/>
            <w:vAlign w:val="top"/>
          </w:tcPr>
          <w:p>
            <w:pPr>
              <w:spacing w:after="0" w:before="0"/>
              <w:jc w:val="left"/>
            </w:pPr>
            <w:r>
              <w:rPr>
                <w:rFonts w:ascii="Arial" w:hAnsi="Arial"/>
              </w:rPr>
            </w:r>
            <w:r>
              <w:rPr>
                <w:rFonts w:ascii="Arial" w:hAnsi="Arial"/>
                <w:b w:val="0"/>
                <w:sz w:val="16"/>
              </w:rPr>
              <w:t>Matriz de permisos Alpujarra</w:t>
            </w:r>
          </w:p>
        </w:tc>
        <w:tc>
          <w:tcPr>
            <w:tcW w:type="dxa" w:w="6768"/>
            <w:vAlign w:val="top"/>
          </w:tcPr>
          <w:p>
            <w:pPr>
              <w:spacing w:after="0" w:before="0"/>
              <w:jc w:val="left"/>
            </w:pPr>
            <w:r>
              <w:rPr>
                <w:rFonts w:ascii="Arial" w:hAnsi="Arial"/>
              </w:rPr>
            </w:r>
            <w:r>
              <w:rPr>
                <w:rFonts w:ascii="Arial" w:hAnsi="Arial"/>
                <w:b w:val="0"/>
                <w:sz w:val="16"/>
              </w:rPr>
              <w:t>Controlar afecciones ambientales, culturales, urbanísticas y de seguridad.</w:t>
            </w:r>
          </w:p>
        </w:tc>
        <w:tc>
          <w:tcPr>
            <w:tcW w:type="dxa" w:w="1728"/>
            <w:vAlign w:val="top"/>
          </w:tcPr>
          <w:p>
            <w:pPr>
              <w:spacing w:after="0" w:before="0"/>
              <w:jc w:val="left"/>
            </w:pPr>
            <w:r>
              <w:rPr>
                <w:rFonts w:ascii="Arial" w:hAnsi="Arial"/>
              </w:rPr>
            </w:r>
            <w:r>
              <w:rPr>
                <w:rFonts w:ascii="Arial" w:hAnsi="Arial"/>
                <w:b w:val="0"/>
                <w:sz w:val="16"/>
              </w:rPr>
              <w:t>ALTA</w:t>
            </w:r>
          </w:p>
        </w:tc>
      </w:tr>
      <w:tr>
        <w:trPr>
          <w:cantSplit/>
        </w:trPr>
        <w:tc>
          <w:tcPr>
            <w:tcW w:type="dxa" w:w="3311"/>
            <w:vAlign w:val="top"/>
          </w:tcPr>
          <w:p>
            <w:pPr>
              <w:spacing w:after="0" w:before="0"/>
              <w:jc w:val="left"/>
            </w:pPr>
            <w:r>
              <w:rPr>
                <w:rFonts w:ascii="Arial" w:hAnsi="Arial"/>
              </w:rPr>
            </w:r>
            <w:r>
              <w:rPr>
                <w:rFonts w:ascii="Arial" w:hAnsi="Arial"/>
                <w:b w:val="0"/>
                <w:sz w:val="16"/>
              </w:rPr>
              <w:t>Priorización rápida de operaciones</w:t>
            </w:r>
          </w:p>
        </w:tc>
        <w:tc>
          <w:tcPr>
            <w:tcW w:type="dxa" w:w="6768"/>
            <w:vAlign w:val="top"/>
          </w:tcPr>
          <w:p>
            <w:pPr>
              <w:spacing w:after="0" w:before="0"/>
              <w:jc w:val="left"/>
            </w:pPr>
            <w:r>
              <w:rPr>
                <w:rFonts w:ascii="Arial" w:hAnsi="Arial"/>
              </w:rPr>
            </w:r>
            <w:r>
              <w:rPr>
                <w:rFonts w:ascii="Arial" w:hAnsi="Arial"/>
                <w:b w:val="0"/>
                <w:sz w:val="16"/>
              </w:rPr>
              <w:t>Seleccionar y licitar las actuaciones con menor riesgo.</w:t>
            </w:r>
          </w:p>
        </w:tc>
        <w:tc>
          <w:tcPr>
            <w:tcW w:type="dxa" w:w="1728"/>
            <w:vAlign w:val="top"/>
          </w:tcPr>
          <w:p>
            <w:pPr>
              <w:spacing w:after="0" w:before="0"/>
              <w:jc w:val="left"/>
            </w:pPr>
            <w:r>
              <w:rPr>
                <w:rFonts w:ascii="Arial" w:hAnsi="Arial"/>
              </w:rPr>
            </w:r>
            <w:r>
              <w:rPr>
                <w:rFonts w:ascii="Arial" w:hAnsi="Arial"/>
                <w:b w:val="0"/>
                <w:sz w:val="16"/>
              </w:rPr>
              <w:t>CRÍTICA</w:t>
            </w:r>
          </w:p>
        </w:tc>
      </w:tr>
      <w:tr>
        <w:trPr>
          <w:cantSplit/>
        </w:trPr>
        <w:tc>
          <w:tcPr>
            <w:tcW w:type="dxa" w:w="3311"/>
            <w:vAlign w:val="top"/>
          </w:tcPr>
          <w:p>
            <w:pPr>
              <w:spacing w:after="0" w:before="0"/>
              <w:jc w:val="left"/>
            </w:pPr>
            <w:r>
              <w:rPr>
                <w:rFonts w:ascii="Arial" w:hAnsi="Arial"/>
              </w:rPr>
            </w:r>
            <w:r>
              <w:rPr>
                <w:rFonts w:ascii="Arial" w:hAnsi="Arial"/>
                <w:b w:val="0"/>
                <w:sz w:val="16"/>
              </w:rPr>
              <w:t>Plan de explotación equipamientos</w:t>
            </w:r>
          </w:p>
        </w:tc>
        <w:tc>
          <w:tcPr>
            <w:tcW w:type="dxa" w:w="6768"/>
            <w:vAlign w:val="top"/>
          </w:tcPr>
          <w:p>
            <w:pPr>
              <w:spacing w:after="0" w:before="0"/>
              <w:jc w:val="left"/>
            </w:pPr>
            <w:r>
              <w:rPr>
                <w:rFonts w:ascii="Arial" w:hAnsi="Arial"/>
              </w:rPr>
            </w:r>
            <w:r>
              <w:rPr>
                <w:rFonts w:ascii="Arial" w:hAnsi="Arial"/>
                <w:b w:val="0"/>
                <w:sz w:val="16"/>
              </w:rPr>
              <w:t>Asegurar sostenibilidad posterior y elegibilidad funcional.</w:t>
            </w:r>
          </w:p>
        </w:tc>
        <w:tc>
          <w:tcPr>
            <w:tcW w:type="dxa" w:w="1728"/>
            <w:vAlign w:val="top"/>
          </w:tcPr>
          <w:p>
            <w:pPr>
              <w:spacing w:after="0" w:before="0"/>
              <w:jc w:val="left"/>
            </w:pPr>
            <w:r>
              <w:rPr>
                <w:rFonts w:ascii="Arial" w:hAnsi="Arial"/>
              </w:rPr>
            </w:r>
            <w:r>
              <w:rPr>
                <w:rFonts w:ascii="Arial" w:hAnsi="Arial"/>
                <w:b w:val="0"/>
                <w:sz w:val="16"/>
              </w:rPr>
              <w:t>MEDIA</w:t>
            </w:r>
          </w:p>
        </w:tc>
      </w:tr>
    </w:tbl>
    <w:p/>
    <w:p>
      <w:pPr>
        <w:pStyle w:val="Heading1"/>
      </w:pPr>
      <w:r>
        <w:t>10. PAI Montes Occidentales, Fortaleza de Poniente</w:t>
      </w:r>
    </w:p>
    <w:p>
      <w:pPr>
        <w:pStyle w:val="Small"/>
      </w:pPr>
      <w:r>
        <w:rPr>
          <w:b/>
        </w:rPr>
        <w:t xml:space="preserve">Fuente revisada: </w:t>
      </w:r>
      <w:r>
        <w:t>MEMORIA-PAI-MONTES-OCCID.-SIN-LOGO-CONSULTORA.pdf.</w:t>
      </w:r>
    </w:p>
    <w:p>
      <w:r>
        <w:t>El PAI Montes Occidentales, Fortaleza de Poniente, abarca Algarinejo, Colomera, Íllora, Moclín, Montefrío y Zagra. Se basa en la EDIL y el Plan de Actuación Local de los Montes Occidentales de 2022. Su objetivo es fijar población mediante mejora de cuidados, economía turística, vivienda y movilidad eléctrica. Se estructura en cuatro proyectos: Itinerario Patrimonial Fortalezas de Poniente, Transición Energética Local, Comarca de Cuidados y Activación de la Vivienda Vacía.</w:t>
      </w:r>
    </w:p>
    <w:p>
      <w:r>
        <w:rPr>
          <w:b/>
        </w:rPr>
        <w:t xml:space="preserve">Valoración Vanguardia.Tech: </w:t>
      </w:r>
      <w:r>
        <w:t xml:space="preserve">Diagnóstico general de riesgo: </w:t>
      </w:r>
      <w:r>
        <w:t>Riesgo alto. El diseño es sólido y la gobernanza está bien descrita, pero el PAI contiene actuaciones complejas en tecnología, cuidados, vivienda y patrimonio. Requiere control jurídico, técnico y de explotación desde el inicio.</w:t>
      </w:r>
    </w:p>
    <w:p>
      <w:pPr>
        <w:pStyle w:val="Heading2"/>
      </w:pPr>
      <w:r>
        <w:t>Cumplimientos documentales identificados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168"/>
            <w:shd w:fill="1F4E79"/>
            <w:vAlign w:val="center"/>
          </w:tcPr>
          <w:p>
            <w:pPr>
              <w:spacing w:after="0" w:before="0"/>
              <w:jc w:val="left"/>
            </w:pPr>
            <w:r>
              <w:rPr>
                <w:rFonts w:ascii="Arial" w:hAnsi="Arial"/>
              </w:rPr>
            </w:r>
            <w:r>
              <w:rPr>
                <w:rFonts w:ascii="Arial" w:hAnsi="Arial"/>
                <w:b/>
                <w:color w:val="FFFFFF"/>
                <w:sz w:val="16"/>
              </w:rPr>
              <w:t>Elemento exigido o valorable</w:t>
            </w:r>
          </w:p>
        </w:tc>
        <w:tc>
          <w:tcPr>
            <w:tcW w:type="dxa" w:w="6192"/>
            <w:shd w:fill="1F4E79"/>
            <w:vAlign w:val="center"/>
          </w:tcPr>
          <w:p>
            <w:pPr>
              <w:spacing w:after="0" w:before="0"/>
              <w:jc w:val="left"/>
            </w:pPr>
            <w:r>
              <w:rPr>
                <w:rFonts w:ascii="Arial" w:hAnsi="Arial"/>
              </w:rPr>
            </w:r>
            <w:r>
              <w:rPr>
                <w:rFonts w:ascii="Arial" w:hAnsi="Arial"/>
                <w:b/>
                <w:color w:val="FFFFFF"/>
                <w:sz w:val="16"/>
              </w:rPr>
              <w:t>Evidencia en la memoria revisada</w:t>
            </w:r>
          </w:p>
        </w:tc>
        <w:tc>
          <w:tcPr>
            <w:tcW w:type="dxa" w:w="2592"/>
            <w:shd w:fill="1F4E79"/>
            <w:vAlign w:val="center"/>
          </w:tcPr>
          <w:p>
            <w:pPr>
              <w:spacing w:after="0" w:before="0"/>
              <w:jc w:val="left"/>
            </w:pPr>
            <w:r>
              <w:rPr>
                <w:rFonts w:ascii="Arial" w:hAnsi="Arial"/>
              </w:rPr>
            </w:r>
            <w:r>
              <w:rPr>
                <w:rFonts w:ascii="Arial" w:hAnsi="Arial"/>
                <w:b/>
                <w:color w:val="FFFFFF"/>
                <w:sz w:val="16"/>
              </w:rPr>
              <w:t>Valoración</w:t>
            </w:r>
          </w:p>
        </w:tc>
      </w:tr>
      <w:tr>
        <w:trPr>
          <w:cantSplit/>
        </w:trPr>
        <w:tc>
          <w:tcPr>
            <w:tcW w:type="dxa" w:w="3168"/>
            <w:vAlign w:val="top"/>
          </w:tcPr>
          <w:p>
            <w:pPr>
              <w:spacing w:after="0" w:before="0"/>
              <w:jc w:val="left"/>
            </w:pPr>
            <w:r>
              <w:rPr>
                <w:rFonts w:ascii="Arial" w:hAnsi="Arial"/>
              </w:rPr>
            </w:r>
            <w:r>
              <w:rPr>
                <w:rFonts w:ascii="Arial" w:hAnsi="Arial"/>
                <w:b w:val="0"/>
                <w:sz w:val="16"/>
              </w:rPr>
              <w:t>Alineación estratégica</w:t>
            </w:r>
          </w:p>
        </w:tc>
        <w:tc>
          <w:tcPr>
            <w:tcW w:type="dxa" w:w="6192"/>
            <w:vAlign w:val="top"/>
          </w:tcPr>
          <w:p>
            <w:pPr>
              <w:spacing w:after="0" w:before="0"/>
              <w:jc w:val="left"/>
            </w:pPr>
            <w:r>
              <w:rPr>
                <w:rFonts w:ascii="Arial" w:hAnsi="Arial"/>
              </w:rPr>
            </w:r>
            <w:r>
              <w:rPr>
                <w:rFonts w:ascii="Arial" w:hAnsi="Arial"/>
                <w:b w:val="0"/>
                <w:sz w:val="16"/>
              </w:rPr>
              <w:t>Parte de EDIL y Plan de Actuación Local 2022, ambos enmarcados en la Agenda Urbana Española.</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Área de actuación</w:t>
            </w:r>
          </w:p>
        </w:tc>
        <w:tc>
          <w:tcPr>
            <w:tcW w:type="dxa" w:w="6192"/>
            <w:vAlign w:val="top"/>
          </w:tcPr>
          <w:p>
            <w:pPr>
              <w:spacing w:after="0" w:before="0"/>
              <w:jc w:val="left"/>
            </w:pPr>
            <w:r>
              <w:rPr>
                <w:rFonts w:ascii="Arial" w:hAnsi="Arial"/>
              </w:rPr>
            </w:r>
            <w:r>
              <w:rPr>
                <w:rFonts w:ascii="Arial" w:hAnsi="Arial"/>
                <w:b w:val="0"/>
                <w:sz w:val="16"/>
              </w:rPr>
              <w:t>Define una comarca funcional con problemas comunes de demografía, economía, ambiente, movilidad y servicios.</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Gobernanza</w:t>
            </w:r>
          </w:p>
        </w:tc>
        <w:tc>
          <w:tcPr>
            <w:tcW w:type="dxa" w:w="6192"/>
            <w:vAlign w:val="top"/>
          </w:tcPr>
          <w:p>
            <w:pPr>
              <w:spacing w:after="0" w:before="0"/>
              <w:jc w:val="left"/>
            </w:pPr>
            <w:r>
              <w:rPr>
                <w:rFonts w:ascii="Arial" w:hAnsi="Arial"/>
              </w:rPr>
            </w:r>
            <w:r>
              <w:rPr>
                <w:rFonts w:ascii="Arial" w:hAnsi="Arial"/>
                <w:b w:val="0"/>
                <w:sz w:val="16"/>
              </w:rPr>
              <w:t>Prevé Unidad de Gestión, Unidades Ejecutoras, Comisión de Control-Antifraude y Comité de Seguimiento y Coordinación Técnica mensual.</w:t>
            </w:r>
          </w:p>
        </w:tc>
        <w:tc>
          <w:tcPr>
            <w:tcW w:type="dxa" w:w="2592"/>
            <w:vAlign w:val="top"/>
          </w:tcPr>
          <w:p>
            <w:pPr>
              <w:spacing w:after="0" w:before="0"/>
              <w:jc w:val="left"/>
            </w:pPr>
            <w:r>
              <w:rPr>
                <w:rFonts w:ascii="Arial" w:hAnsi="Arial"/>
              </w:rPr>
            </w:r>
            <w:r>
              <w:rPr>
                <w:rFonts w:ascii="Arial" w:hAnsi="Arial"/>
                <w:b w:val="0"/>
                <w:sz w:val="16"/>
              </w:rPr>
              <w:t>Punto fuerte.</w:t>
            </w:r>
          </w:p>
        </w:tc>
      </w:tr>
      <w:tr>
        <w:trPr>
          <w:cantSplit/>
        </w:trPr>
        <w:tc>
          <w:tcPr>
            <w:tcW w:type="dxa" w:w="3168"/>
            <w:vAlign w:val="top"/>
          </w:tcPr>
          <w:p>
            <w:pPr>
              <w:spacing w:after="0" w:before="0"/>
              <w:jc w:val="left"/>
            </w:pPr>
            <w:r>
              <w:rPr>
                <w:rFonts w:ascii="Arial" w:hAnsi="Arial"/>
              </w:rPr>
            </w:r>
            <w:r>
              <w:rPr>
                <w:rFonts w:ascii="Arial" w:hAnsi="Arial"/>
                <w:b w:val="0"/>
                <w:sz w:val="16"/>
              </w:rPr>
              <w:t>Participación y comunicación</w:t>
            </w:r>
          </w:p>
        </w:tc>
        <w:tc>
          <w:tcPr>
            <w:tcW w:type="dxa" w:w="6192"/>
            <w:vAlign w:val="top"/>
          </w:tcPr>
          <w:p>
            <w:pPr>
              <w:spacing w:after="0" w:before="0"/>
              <w:jc w:val="left"/>
            </w:pPr>
            <w:r>
              <w:rPr>
                <w:rFonts w:ascii="Arial" w:hAnsi="Arial"/>
              </w:rPr>
            </w:r>
            <w:r>
              <w:rPr>
                <w:rFonts w:ascii="Arial" w:hAnsi="Arial"/>
                <w:b w:val="0"/>
                <w:sz w:val="16"/>
              </w:rPr>
              <w:t>Prevé comunicación institucional, asistencia técnica global y actos de participación: constitución, actualización AU, taller ciudadano y aprobación.</w:t>
            </w:r>
          </w:p>
        </w:tc>
        <w:tc>
          <w:tcPr>
            <w:tcW w:type="dxa" w:w="2592"/>
            <w:vAlign w:val="top"/>
          </w:tcPr>
          <w:p>
            <w:pPr>
              <w:spacing w:after="0" w:before="0"/>
              <w:jc w:val="left"/>
            </w:pPr>
            <w:r>
              <w:rPr>
                <w:rFonts w:ascii="Arial" w:hAnsi="Arial"/>
              </w:rPr>
            </w:r>
            <w:r>
              <w:rPr>
                <w:rFonts w:ascii="Arial" w:hAnsi="Arial"/>
                <w:b w:val="0"/>
                <w:sz w:val="16"/>
              </w:rPr>
              <w:t>Favorable.</w:t>
            </w:r>
          </w:p>
        </w:tc>
      </w:tr>
      <w:tr>
        <w:trPr>
          <w:cantSplit/>
        </w:trPr>
        <w:tc>
          <w:tcPr>
            <w:tcW w:type="dxa" w:w="3168"/>
            <w:vAlign w:val="top"/>
          </w:tcPr>
          <w:p>
            <w:pPr>
              <w:spacing w:after="0" w:before="0"/>
              <w:jc w:val="left"/>
            </w:pPr>
            <w:r>
              <w:rPr>
                <w:rFonts w:ascii="Arial" w:hAnsi="Arial"/>
              </w:rPr>
            </w:r>
            <w:r>
              <w:rPr>
                <w:rFonts w:ascii="Arial" w:hAnsi="Arial"/>
                <w:b w:val="0"/>
                <w:sz w:val="16"/>
              </w:rPr>
              <w:t>Aprobación</w:t>
            </w:r>
          </w:p>
        </w:tc>
        <w:tc>
          <w:tcPr>
            <w:tcW w:type="dxa" w:w="6192"/>
            <w:vAlign w:val="top"/>
          </w:tcPr>
          <w:p>
            <w:pPr>
              <w:spacing w:after="0" w:before="0"/>
              <w:jc w:val="left"/>
            </w:pPr>
            <w:r>
              <w:rPr>
                <w:rFonts w:ascii="Arial" w:hAnsi="Arial"/>
              </w:rPr>
            </w:r>
            <w:r>
              <w:rPr>
                <w:rFonts w:ascii="Arial" w:hAnsi="Arial"/>
                <w:b w:val="0"/>
                <w:sz w:val="16"/>
              </w:rPr>
              <w:t>Consta aprobación por acuerdo plenario u órganos de gobierno competentes de la agrupación Fortaleza Poniente el 31/01/2025.</w:t>
            </w:r>
          </w:p>
        </w:tc>
        <w:tc>
          <w:tcPr>
            <w:tcW w:type="dxa" w:w="2592"/>
            <w:vAlign w:val="top"/>
          </w:tcPr>
          <w:p>
            <w:pPr>
              <w:spacing w:after="0" w:before="0"/>
              <w:jc w:val="left"/>
            </w:pPr>
            <w:r>
              <w:rPr>
                <w:rFonts w:ascii="Arial" w:hAnsi="Arial"/>
              </w:rPr>
            </w:r>
            <w:r>
              <w:rPr>
                <w:rFonts w:ascii="Arial" w:hAnsi="Arial"/>
                <w:b w:val="0"/>
                <w:sz w:val="16"/>
              </w:rPr>
              <w:t>Cumplido en memoria.</w:t>
            </w:r>
          </w:p>
        </w:tc>
      </w:tr>
      <w:tr>
        <w:trPr>
          <w:cantSplit/>
        </w:trPr>
        <w:tc>
          <w:tcPr>
            <w:tcW w:type="dxa" w:w="3168"/>
            <w:vAlign w:val="top"/>
          </w:tcPr>
          <w:p>
            <w:pPr>
              <w:spacing w:after="0" w:before="0"/>
              <w:jc w:val="left"/>
            </w:pPr>
            <w:r>
              <w:rPr>
                <w:rFonts w:ascii="Arial" w:hAnsi="Arial"/>
              </w:rPr>
            </w:r>
            <w:r>
              <w:rPr>
                <w:rFonts w:ascii="Arial" w:hAnsi="Arial"/>
                <w:b w:val="0"/>
                <w:sz w:val="16"/>
              </w:rPr>
              <w:t>Presupuesto y actuaciones</w:t>
            </w:r>
          </w:p>
        </w:tc>
        <w:tc>
          <w:tcPr>
            <w:tcW w:type="dxa" w:w="6192"/>
            <w:vAlign w:val="top"/>
          </w:tcPr>
          <w:p>
            <w:pPr>
              <w:spacing w:after="0" w:before="0"/>
              <w:jc w:val="left"/>
            </w:pPr>
            <w:r>
              <w:rPr>
                <w:rFonts w:ascii="Arial" w:hAnsi="Arial"/>
              </w:rPr>
            </w:r>
            <w:r>
              <w:rPr>
                <w:rFonts w:ascii="Arial" w:hAnsi="Arial"/>
                <w:b w:val="0"/>
                <w:sz w:val="16"/>
              </w:rPr>
              <w:t>Total solicitado 9.991.644,48 euros, asistencia técnica 349.707,56 euros, total 10.341.352,04 euros. Incluye patrimonio, hologramas, aparcamientos, centros de cuidados y vivienda.</w:t>
            </w:r>
          </w:p>
        </w:tc>
        <w:tc>
          <w:tcPr>
            <w:tcW w:type="dxa" w:w="2592"/>
            <w:vAlign w:val="top"/>
          </w:tcPr>
          <w:p>
            <w:pPr>
              <w:spacing w:after="0" w:before="0"/>
              <w:jc w:val="left"/>
            </w:pPr>
            <w:r>
              <w:rPr>
                <w:rFonts w:ascii="Arial" w:hAnsi="Arial"/>
              </w:rPr>
            </w:r>
            <w:r>
              <w:rPr>
                <w:rFonts w:ascii="Arial" w:hAnsi="Arial"/>
                <w:b w:val="0"/>
                <w:sz w:val="16"/>
              </w:rPr>
              <w:t>Debe conciliarse con senda final.</w:t>
            </w:r>
          </w:p>
        </w:tc>
      </w:tr>
    </w:tbl>
    <w:p/>
    <w:p>
      <w:pPr>
        <w:pStyle w:val="Heading2"/>
      </w:pPr>
      <w:r>
        <w:t>Incidencias, vacíos y urgencia de corrección</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shd w:fill="1F4E79"/>
            <w:vAlign w:val="center"/>
          </w:tcPr>
          <w:p>
            <w:pPr>
              <w:spacing w:after="0" w:before="0"/>
              <w:jc w:val="left"/>
            </w:pPr>
            <w:r>
              <w:rPr>
                <w:rFonts w:ascii="Arial" w:hAnsi="Arial"/>
              </w:rPr>
            </w:r>
            <w:r>
              <w:rPr>
                <w:rFonts w:ascii="Arial" w:hAnsi="Arial"/>
                <w:b/>
                <w:color w:val="FFFFFF"/>
                <w:sz w:val="16"/>
              </w:rPr>
              <w:t>Ámbito revisado</w:t>
            </w:r>
          </w:p>
        </w:tc>
        <w:tc>
          <w:tcPr>
            <w:tcW w:type="dxa" w:w="3744"/>
            <w:shd w:fill="1F4E79"/>
            <w:vAlign w:val="center"/>
          </w:tcPr>
          <w:p>
            <w:pPr>
              <w:spacing w:after="0" w:before="0"/>
              <w:jc w:val="left"/>
            </w:pPr>
            <w:r>
              <w:rPr>
                <w:rFonts w:ascii="Arial" w:hAnsi="Arial"/>
              </w:rPr>
            </w:r>
            <w:r>
              <w:rPr>
                <w:rFonts w:ascii="Arial" w:hAnsi="Arial"/>
                <w:b/>
                <w:color w:val="FFFFFF"/>
                <w:sz w:val="16"/>
              </w:rPr>
              <w:t>Estado según memorias</w:t>
            </w:r>
          </w:p>
        </w:tc>
        <w:tc>
          <w:tcPr>
            <w:tcW w:type="dxa" w:w="4031"/>
            <w:shd w:fill="1F4E79"/>
            <w:vAlign w:val="center"/>
          </w:tcPr>
          <w:p>
            <w:pPr>
              <w:spacing w:after="0" w:before="0"/>
              <w:jc w:val="left"/>
            </w:pPr>
            <w:r>
              <w:rPr>
                <w:rFonts w:ascii="Arial" w:hAnsi="Arial"/>
              </w:rPr>
            </w:r>
            <w:r>
              <w:rPr>
                <w:rFonts w:ascii="Arial" w:hAnsi="Arial"/>
                <w:b/>
                <w:color w:val="FFFFFF"/>
                <w:sz w:val="16"/>
              </w:rPr>
              <w:t>Riesgo principal</w:t>
            </w:r>
          </w:p>
        </w:tc>
        <w:tc>
          <w:tcPr>
            <w:tcW w:type="dxa" w:w="1584"/>
            <w:shd w:fill="1F4E79"/>
            <w:vAlign w:val="center"/>
          </w:tcPr>
          <w:p>
            <w:pPr>
              <w:spacing w:after="0" w:before="0"/>
              <w:jc w:val="left"/>
            </w:pPr>
            <w:r>
              <w:rPr>
                <w:rFonts w:ascii="Arial" w:hAnsi="Arial"/>
              </w:rPr>
            </w:r>
            <w:r>
              <w:rPr>
                <w:rFonts w:ascii="Arial" w:hAnsi="Arial"/>
                <w:b/>
                <w:color w:val="FFFFFF"/>
                <w:sz w:val="16"/>
              </w:rPr>
              <w:t>Urgencia</w:t>
            </w:r>
          </w:p>
        </w:tc>
      </w:tr>
      <w:tr>
        <w:trPr>
          <w:cantSplit/>
        </w:trPr>
        <w:tc>
          <w:tcPr>
            <w:tcW w:type="dxa" w:w="2592"/>
            <w:vAlign w:val="top"/>
          </w:tcPr>
          <w:p>
            <w:pPr>
              <w:spacing w:after="0" w:before="0"/>
              <w:jc w:val="left"/>
            </w:pPr>
            <w:r>
              <w:rPr>
                <w:rFonts w:ascii="Arial" w:hAnsi="Arial"/>
              </w:rPr>
            </w:r>
            <w:r>
              <w:rPr>
                <w:rFonts w:ascii="Arial" w:hAnsi="Arial"/>
                <w:b w:val="0"/>
                <w:sz w:val="16"/>
              </w:rPr>
              <w:t>Conciliación presupuestaria</w:t>
            </w:r>
          </w:p>
        </w:tc>
        <w:tc>
          <w:tcPr>
            <w:tcW w:type="dxa" w:w="3744"/>
            <w:vAlign w:val="top"/>
          </w:tcPr>
          <w:p>
            <w:pPr>
              <w:spacing w:after="0" w:before="0"/>
              <w:jc w:val="left"/>
            </w:pPr>
            <w:r>
              <w:rPr>
                <w:rFonts w:ascii="Arial" w:hAnsi="Arial"/>
              </w:rPr>
            </w:r>
            <w:r>
              <w:rPr>
                <w:rFonts w:ascii="Arial" w:hAnsi="Arial"/>
                <w:b w:val="0"/>
                <w:sz w:val="16"/>
              </w:rPr>
              <w:t>El documento diferencia total solicitado y asistencia técnica, alcanzando 10.341.352,04 euros.</w:t>
            </w:r>
          </w:p>
        </w:tc>
        <w:tc>
          <w:tcPr>
            <w:tcW w:type="dxa" w:w="4031"/>
            <w:vAlign w:val="top"/>
          </w:tcPr>
          <w:p>
            <w:pPr>
              <w:spacing w:after="0" w:before="0"/>
              <w:jc w:val="left"/>
            </w:pPr>
            <w:r>
              <w:rPr>
                <w:rFonts w:ascii="Arial" w:hAnsi="Arial"/>
              </w:rPr>
            </w:r>
            <w:r>
              <w:rPr>
                <w:rFonts w:ascii="Arial" w:hAnsi="Arial"/>
                <w:b w:val="0"/>
                <w:sz w:val="16"/>
              </w:rPr>
              <w:t>Debe verificarse compatibilidad con resolución definitiva, porcentaje de AT y senda finalmente asignada.</w:t>
            </w:r>
          </w:p>
        </w:tc>
        <w:tc>
          <w:tcPr>
            <w:tcW w:type="dxa" w:w="1584"/>
            <w:vAlign w:val="top"/>
            <w:shd w:fill="C00000"/>
          </w:tcPr>
          <w:p>
            <w:pPr>
              <w:spacing w:after="0" w:before="0"/>
              <w:jc w:val="left"/>
            </w:pPr>
            <w:r>
              <w:rPr>
                <w:rFonts w:ascii="Arial" w:hAnsi="Arial"/>
                <w:b/>
                <w:color w:val="FFFFFF"/>
              </w:rPr>
            </w:r>
            <w:r>
              <w:rPr>
                <w:rFonts w:ascii="Arial" w:hAnsi="Arial"/>
                <w:b/>
                <w:color w:val="FFFFFF"/>
                <w:sz w:val="16"/>
              </w:rPr>
              <w:t>CRÍTICA</w:t>
            </w:r>
          </w:p>
        </w:tc>
      </w:tr>
      <w:tr>
        <w:trPr>
          <w:cantSplit/>
        </w:trPr>
        <w:tc>
          <w:tcPr>
            <w:tcW w:type="dxa" w:w="2592"/>
            <w:vAlign w:val="top"/>
          </w:tcPr>
          <w:p>
            <w:pPr>
              <w:spacing w:after="0" w:before="0"/>
              <w:jc w:val="left"/>
            </w:pPr>
            <w:r>
              <w:rPr>
                <w:rFonts w:ascii="Arial" w:hAnsi="Arial"/>
              </w:rPr>
            </w:r>
            <w:r>
              <w:rPr>
                <w:rFonts w:ascii="Arial" w:hAnsi="Arial"/>
                <w:b w:val="0"/>
                <w:sz w:val="16"/>
              </w:rPr>
              <w:t>Red comarcal de hologramas</w:t>
            </w:r>
          </w:p>
        </w:tc>
        <w:tc>
          <w:tcPr>
            <w:tcW w:type="dxa" w:w="3744"/>
            <w:vAlign w:val="top"/>
          </w:tcPr>
          <w:p>
            <w:pPr>
              <w:spacing w:after="0" w:before="0"/>
              <w:jc w:val="left"/>
            </w:pPr>
            <w:r>
              <w:rPr>
                <w:rFonts w:ascii="Arial" w:hAnsi="Arial"/>
              </w:rPr>
            </w:r>
            <w:r>
              <w:rPr>
                <w:rFonts w:ascii="Arial" w:hAnsi="Arial"/>
                <w:b w:val="0"/>
                <w:sz w:val="16"/>
              </w:rPr>
              <w:t>Actuación de 1.356.000 euros en patrimonio/turismo.</w:t>
            </w:r>
          </w:p>
        </w:tc>
        <w:tc>
          <w:tcPr>
            <w:tcW w:type="dxa" w:w="4031"/>
            <w:vAlign w:val="top"/>
          </w:tcPr>
          <w:p>
            <w:pPr>
              <w:spacing w:after="0" w:before="0"/>
              <w:jc w:val="left"/>
            </w:pPr>
            <w:r>
              <w:rPr>
                <w:rFonts w:ascii="Arial" w:hAnsi="Arial"/>
              </w:rPr>
            </w:r>
            <w:r>
              <w:rPr>
                <w:rFonts w:ascii="Arial" w:hAnsi="Arial"/>
                <w:b w:val="0"/>
                <w:sz w:val="16"/>
              </w:rPr>
              <w:t>Riesgo tecnológico, contenidos, mantenimiento, propiedad intelectual y obsolescencia.</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Comarca de cuidados</w:t>
            </w:r>
          </w:p>
        </w:tc>
        <w:tc>
          <w:tcPr>
            <w:tcW w:type="dxa" w:w="3744"/>
            <w:vAlign w:val="top"/>
          </w:tcPr>
          <w:p>
            <w:pPr>
              <w:spacing w:after="0" w:before="0"/>
              <w:jc w:val="left"/>
            </w:pPr>
            <w:r>
              <w:rPr>
                <w:rFonts w:ascii="Arial" w:hAnsi="Arial"/>
              </w:rPr>
            </w:r>
            <w:r>
              <w:rPr>
                <w:rFonts w:ascii="Arial" w:hAnsi="Arial"/>
                <w:b w:val="0"/>
                <w:sz w:val="16"/>
              </w:rPr>
              <w:t>Centros de estancia, centros de día y centro intergeneracional.</w:t>
            </w:r>
          </w:p>
        </w:tc>
        <w:tc>
          <w:tcPr>
            <w:tcW w:type="dxa" w:w="4031"/>
            <w:vAlign w:val="top"/>
          </w:tcPr>
          <w:p>
            <w:pPr>
              <w:spacing w:after="0" w:before="0"/>
              <w:jc w:val="left"/>
            </w:pPr>
            <w:r>
              <w:rPr>
                <w:rFonts w:ascii="Arial" w:hAnsi="Arial"/>
              </w:rPr>
            </w:r>
            <w:r>
              <w:rPr>
                <w:rFonts w:ascii="Arial" w:hAnsi="Arial"/>
                <w:b w:val="0"/>
                <w:sz w:val="16"/>
              </w:rPr>
              <w:t>Riesgo de autorización sectorial, dotación de personal, modelo de gestión y sostenibilidad posterior.</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Activación de vivienda vacía</w:t>
            </w:r>
          </w:p>
        </w:tc>
        <w:tc>
          <w:tcPr>
            <w:tcW w:type="dxa" w:w="3744"/>
            <w:vAlign w:val="top"/>
          </w:tcPr>
          <w:p>
            <w:pPr>
              <w:spacing w:after="0" w:before="0"/>
              <w:jc w:val="left"/>
            </w:pPr>
            <w:r>
              <w:rPr>
                <w:rFonts w:ascii="Arial" w:hAnsi="Arial"/>
              </w:rPr>
            </w:r>
            <w:r>
              <w:rPr>
                <w:rFonts w:ascii="Arial" w:hAnsi="Arial"/>
                <w:b w:val="0"/>
                <w:sz w:val="16"/>
              </w:rPr>
              <w:t>Requiere acuerdos con agrupaciones de particulares y personal técnico cualificado.</w:t>
            </w:r>
          </w:p>
        </w:tc>
        <w:tc>
          <w:tcPr>
            <w:tcW w:type="dxa" w:w="4031"/>
            <w:vAlign w:val="top"/>
          </w:tcPr>
          <w:p>
            <w:pPr>
              <w:spacing w:after="0" w:before="0"/>
              <w:jc w:val="left"/>
            </w:pPr>
            <w:r>
              <w:rPr>
                <w:rFonts w:ascii="Arial" w:hAnsi="Arial"/>
              </w:rPr>
            </w:r>
            <w:r>
              <w:rPr>
                <w:rFonts w:ascii="Arial" w:hAnsi="Arial"/>
                <w:b w:val="0"/>
                <w:sz w:val="16"/>
              </w:rPr>
              <w:t>Sin acuerdos y equipo técnico, la actuación puede quedarse en fase preparatoria.</w:t>
            </w:r>
          </w:p>
        </w:tc>
        <w:tc>
          <w:tcPr>
            <w:tcW w:type="dxa" w:w="1584"/>
            <w:vAlign w:val="top"/>
            <w:shd w:fill="F4B183"/>
          </w:tcPr>
          <w:p>
            <w:pPr>
              <w:spacing w:after="0" w:before="0"/>
              <w:jc w:val="left"/>
            </w:pPr>
            <w:r>
              <w:rPr>
                <w:rFonts w:ascii="Arial" w:hAnsi="Arial"/>
              </w:rPr>
            </w:r>
            <w:r>
              <w:rPr>
                <w:rFonts w:ascii="Arial" w:hAnsi="Arial"/>
                <w:b w:val="0"/>
                <w:sz w:val="16"/>
              </w:rPr>
              <w:t>ALTA</w:t>
            </w:r>
          </w:p>
        </w:tc>
      </w:tr>
      <w:tr>
        <w:trPr>
          <w:cantSplit/>
        </w:trPr>
        <w:tc>
          <w:tcPr>
            <w:tcW w:type="dxa" w:w="2592"/>
            <w:vAlign w:val="top"/>
          </w:tcPr>
          <w:p>
            <w:pPr>
              <w:spacing w:after="0" w:before="0"/>
              <w:jc w:val="left"/>
            </w:pPr>
            <w:r>
              <w:rPr>
                <w:rFonts w:ascii="Arial" w:hAnsi="Arial"/>
              </w:rPr>
            </w:r>
            <w:r>
              <w:rPr>
                <w:rFonts w:ascii="Arial" w:hAnsi="Arial"/>
                <w:b w:val="0"/>
                <w:sz w:val="16"/>
              </w:rPr>
              <w:t>Aparcamientos y transición energética</w:t>
            </w:r>
          </w:p>
        </w:tc>
        <w:tc>
          <w:tcPr>
            <w:tcW w:type="dxa" w:w="3744"/>
            <w:vAlign w:val="top"/>
          </w:tcPr>
          <w:p>
            <w:pPr>
              <w:spacing w:after="0" w:before="0"/>
              <w:jc w:val="left"/>
            </w:pPr>
            <w:r>
              <w:rPr>
                <w:rFonts w:ascii="Arial" w:hAnsi="Arial"/>
              </w:rPr>
            </w:r>
            <w:r>
              <w:rPr>
                <w:rFonts w:ascii="Arial" w:hAnsi="Arial"/>
                <w:b w:val="0"/>
                <w:sz w:val="16"/>
              </w:rPr>
              <w:t>15 plazas por municipio.</w:t>
            </w:r>
          </w:p>
        </w:tc>
        <w:tc>
          <w:tcPr>
            <w:tcW w:type="dxa" w:w="4031"/>
            <w:vAlign w:val="top"/>
          </w:tcPr>
          <w:p>
            <w:pPr>
              <w:spacing w:after="0" w:before="0"/>
              <w:jc w:val="left"/>
            </w:pPr>
            <w:r>
              <w:rPr>
                <w:rFonts w:ascii="Arial" w:hAnsi="Arial"/>
              </w:rPr>
            </w:r>
            <w:r>
              <w:rPr>
                <w:rFonts w:ascii="Arial" w:hAnsi="Arial"/>
                <w:b w:val="0"/>
                <w:sz w:val="16"/>
              </w:rPr>
              <w:t>Verificar titularidad, punto de conexión, recarga, mantenimiento y explotación.</w:t>
            </w:r>
          </w:p>
        </w:tc>
        <w:tc>
          <w:tcPr>
            <w:tcW w:type="dxa" w:w="1584"/>
            <w:vAlign w:val="top"/>
            <w:shd w:fill="FFD966"/>
          </w:tcPr>
          <w:p>
            <w:pPr>
              <w:spacing w:after="0" w:before="0"/>
              <w:jc w:val="left"/>
            </w:pPr>
            <w:r>
              <w:rPr>
                <w:rFonts w:ascii="Arial" w:hAnsi="Arial"/>
              </w:rPr>
            </w:r>
            <w:r>
              <w:rPr>
                <w:rFonts w:ascii="Arial" w:hAnsi="Arial"/>
                <w:b w:val="0"/>
                <w:sz w:val="16"/>
              </w:rPr>
              <w:t>MEDIA</w:t>
            </w:r>
          </w:p>
        </w:tc>
      </w:tr>
      <w:tr>
        <w:trPr>
          <w:cantSplit/>
        </w:trPr>
        <w:tc>
          <w:tcPr>
            <w:tcW w:type="dxa" w:w="2592"/>
            <w:vAlign w:val="top"/>
          </w:tcPr>
          <w:p>
            <w:pPr>
              <w:spacing w:after="0" w:before="0"/>
              <w:jc w:val="left"/>
            </w:pPr>
            <w:r>
              <w:rPr>
                <w:rFonts w:ascii="Arial" w:hAnsi="Arial"/>
              </w:rPr>
            </w:r>
            <w:r>
              <w:rPr>
                <w:rFonts w:ascii="Arial" w:hAnsi="Arial"/>
                <w:b w:val="0"/>
                <w:sz w:val="16"/>
              </w:rPr>
              <w:t>Patrimonio y albergues</w:t>
            </w:r>
          </w:p>
        </w:tc>
        <w:tc>
          <w:tcPr>
            <w:tcW w:type="dxa" w:w="3744"/>
            <w:vAlign w:val="top"/>
          </w:tcPr>
          <w:p>
            <w:pPr>
              <w:spacing w:after="0" w:before="0"/>
              <w:jc w:val="left"/>
            </w:pPr>
            <w:r>
              <w:rPr>
                <w:rFonts w:ascii="Arial" w:hAnsi="Arial"/>
              </w:rPr>
            </w:r>
            <w:r>
              <w:rPr>
                <w:rFonts w:ascii="Arial" w:hAnsi="Arial"/>
                <w:b w:val="0"/>
                <w:sz w:val="16"/>
              </w:rPr>
              <w:t>Actuaciones en albergue, Hotel La Enrea, Villavieja, caminos y Ecoconvento.</w:t>
            </w:r>
          </w:p>
        </w:tc>
        <w:tc>
          <w:tcPr>
            <w:tcW w:type="dxa" w:w="4031"/>
            <w:vAlign w:val="top"/>
          </w:tcPr>
          <w:p>
            <w:pPr>
              <w:spacing w:after="0" w:before="0"/>
              <w:jc w:val="left"/>
            </w:pPr>
            <w:r>
              <w:rPr>
                <w:rFonts w:ascii="Arial" w:hAnsi="Arial"/>
              </w:rPr>
            </w:r>
            <w:r>
              <w:rPr>
                <w:rFonts w:ascii="Arial" w:hAnsi="Arial"/>
                <w:b w:val="0"/>
                <w:sz w:val="16"/>
              </w:rPr>
              <w:t>Comprobar titularidad, licencias, protección cultural y permisos.</w:t>
            </w:r>
          </w:p>
        </w:tc>
        <w:tc>
          <w:tcPr>
            <w:tcW w:type="dxa" w:w="1584"/>
            <w:vAlign w:val="top"/>
            <w:shd w:fill="F4B183"/>
          </w:tcPr>
          <w:p>
            <w:pPr>
              <w:spacing w:after="0" w:before="0"/>
              <w:jc w:val="left"/>
            </w:pPr>
            <w:r>
              <w:rPr>
                <w:rFonts w:ascii="Arial" w:hAnsi="Arial"/>
              </w:rPr>
            </w:r>
            <w:r>
              <w:rPr>
                <w:rFonts w:ascii="Arial" w:hAnsi="Arial"/>
                <w:b w:val="0"/>
                <w:sz w:val="16"/>
              </w:rPr>
              <w:t>ALTA</w:t>
            </w:r>
          </w:p>
        </w:tc>
      </w:tr>
    </w:tbl>
    <w:p/>
    <w:p>
      <w:pPr>
        <w:pStyle w:val="Heading2"/>
      </w:pPr>
      <w:r>
        <w:t>Recomendaciones de mejora y control</w:t>
      </w:r>
    </w:p>
    <w:p>
      <w:pPr>
        <w:pStyle w:val="ListBullet"/>
      </w:pPr>
      <w:r>
        <w:t>Realizar conciliación financiera inmediata, separando presupuesto de actuaciones, asistencia técnica, FEDER, aportación provincial y límites aplicables.</w:t>
      </w:r>
    </w:p>
    <w:p>
      <w:pPr>
        <w:pStyle w:val="ListBullet"/>
      </w:pPr>
      <w:r>
        <w:t>Para la red de hologramas, preparar un antepliego técnico con contenidos, hardware, software, licencias, propiedad intelectual, mantenimiento, accesibilidad y ciberseguridad.</w:t>
      </w:r>
    </w:p>
    <w:p>
      <w:pPr>
        <w:pStyle w:val="ListBullet"/>
      </w:pPr>
      <w:r>
        <w:t>Para centros de cuidados, elaborar matriz de autorizaciones sectoriales, modelo de explotación, personal, costes recurrentes y sostenibilidad posterior.</w:t>
      </w:r>
    </w:p>
    <w:p>
      <w:pPr>
        <w:pStyle w:val="ListBullet"/>
      </w:pPr>
      <w:r>
        <w:t>Para vivienda vacía, cerrar acuerdos tipo con propietarios, protocolo de captación, oficina técnica, asesoría legal y criterios de selección de viviendas.</w:t>
      </w:r>
    </w:p>
    <w:p>
      <w:pPr>
        <w:pStyle w:val="ListBullet"/>
      </w:pPr>
      <w:r>
        <w:t>Revisar cada actuación patrimonial con ficha de titularidad, protección, licencia, proyecto técnico, accesibilidad, explotación y evidencias de comunicación.</w:t>
      </w:r>
    </w:p>
    <w:p>
      <w:pPr>
        <w:pStyle w:val="Heading2"/>
      </w:pPr>
      <w:r>
        <w:t>Entregables de control propuestos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311"/>
            <w:shd w:fill="1F4E79"/>
            <w:vAlign w:val="center"/>
          </w:tcPr>
          <w:p>
            <w:pPr>
              <w:spacing w:after="0" w:before="0"/>
              <w:jc w:val="left"/>
            </w:pPr>
            <w:r>
              <w:rPr>
                <w:rFonts w:ascii="Arial" w:hAnsi="Arial"/>
              </w:rPr>
            </w:r>
            <w:r>
              <w:rPr>
                <w:rFonts w:ascii="Arial" w:hAnsi="Arial"/>
                <w:b/>
                <w:color w:val="FFFFFF"/>
                <w:sz w:val="16"/>
              </w:rPr>
              <w:t>Entregable</w:t>
            </w:r>
          </w:p>
        </w:tc>
        <w:tc>
          <w:tcPr>
            <w:tcW w:type="dxa" w:w="6768"/>
            <w:shd w:fill="1F4E79"/>
            <w:vAlign w:val="center"/>
          </w:tcPr>
          <w:p>
            <w:pPr>
              <w:spacing w:after="0" w:before="0"/>
              <w:jc w:val="left"/>
            </w:pPr>
            <w:r>
              <w:rPr>
                <w:rFonts w:ascii="Arial" w:hAnsi="Arial"/>
              </w:rPr>
            </w:r>
            <w:r>
              <w:rPr>
                <w:rFonts w:ascii="Arial" w:hAnsi="Arial"/>
                <w:b/>
                <w:color w:val="FFFFFF"/>
                <w:sz w:val="16"/>
              </w:rPr>
              <w:t>Finalidad</w:t>
            </w:r>
          </w:p>
        </w:tc>
        <w:tc>
          <w:tcPr>
            <w:tcW w:type="dxa" w:w="1728"/>
            <w:shd w:fill="1F4E79"/>
            <w:vAlign w:val="center"/>
          </w:tcPr>
          <w:p>
            <w:pPr>
              <w:spacing w:after="0" w:before="0"/>
              <w:jc w:val="left"/>
            </w:pPr>
            <w:r>
              <w:rPr>
                <w:rFonts w:ascii="Arial" w:hAnsi="Arial"/>
              </w:rPr>
            </w:r>
            <w:r>
              <w:rPr>
                <w:rFonts w:ascii="Arial" w:hAnsi="Arial"/>
                <w:b/>
                <w:color w:val="FFFFFF"/>
                <w:sz w:val="16"/>
              </w:rPr>
              <w:t>Prioridad</w:t>
            </w:r>
          </w:p>
        </w:tc>
      </w:tr>
      <w:tr>
        <w:trPr>
          <w:cantSplit/>
        </w:trPr>
        <w:tc>
          <w:tcPr>
            <w:tcW w:type="dxa" w:w="3311"/>
            <w:vAlign w:val="top"/>
          </w:tcPr>
          <w:p>
            <w:pPr>
              <w:spacing w:after="0" w:before="0"/>
              <w:jc w:val="left"/>
            </w:pPr>
            <w:r>
              <w:rPr>
                <w:rFonts w:ascii="Arial" w:hAnsi="Arial"/>
              </w:rPr>
            </w:r>
            <w:r>
              <w:rPr>
                <w:rFonts w:ascii="Arial" w:hAnsi="Arial"/>
                <w:b w:val="0"/>
                <w:sz w:val="16"/>
              </w:rPr>
              <w:t>Conciliación financiera Montes</w:t>
            </w:r>
          </w:p>
        </w:tc>
        <w:tc>
          <w:tcPr>
            <w:tcW w:type="dxa" w:w="6768"/>
            <w:vAlign w:val="top"/>
          </w:tcPr>
          <w:p>
            <w:pPr>
              <w:spacing w:after="0" w:before="0"/>
              <w:jc w:val="left"/>
            </w:pPr>
            <w:r>
              <w:rPr>
                <w:rFonts w:ascii="Arial" w:hAnsi="Arial"/>
              </w:rPr>
            </w:r>
            <w:r>
              <w:rPr>
                <w:rFonts w:ascii="Arial" w:hAnsi="Arial"/>
                <w:b w:val="0"/>
                <w:sz w:val="16"/>
              </w:rPr>
              <w:t>Evitar descuadres entre presupuesto solicitado, AT y senda aprobada.</w:t>
            </w:r>
          </w:p>
        </w:tc>
        <w:tc>
          <w:tcPr>
            <w:tcW w:type="dxa" w:w="1728"/>
            <w:vAlign w:val="top"/>
          </w:tcPr>
          <w:p>
            <w:pPr>
              <w:spacing w:after="0" w:before="0"/>
              <w:jc w:val="left"/>
            </w:pPr>
            <w:r>
              <w:rPr>
                <w:rFonts w:ascii="Arial" w:hAnsi="Arial"/>
              </w:rPr>
            </w:r>
            <w:r>
              <w:rPr>
                <w:rFonts w:ascii="Arial" w:hAnsi="Arial"/>
                <w:b w:val="0"/>
                <w:sz w:val="16"/>
              </w:rPr>
              <w:t>CRÍTICA</w:t>
            </w:r>
          </w:p>
        </w:tc>
      </w:tr>
      <w:tr>
        <w:trPr>
          <w:cantSplit/>
        </w:trPr>
        <w:tc>
          <w:tcPr>
            <w:tcW w:type="dxa" w:w="3311"/>
            <w:vAlign w:val="top"/>
          </w:tcPr>
          <w:p>
            <w:pPr>
              <w:spacing w:after="0" w:before="0"/>
              <w:jc w:val="left"/>
            </w:pPr>
            <w:r>
              <w:rPr>
                <w:rFonts w:ascii="Arial" w:hAnsi="Arial"/>
              </w:rPr>
            </w:r>
            <w:r>
              <w:rPr>
                <w:rFonts w:ascii="Arial" w:hAnsi="Arial"/>
                <w:b w:val="0"/>
                <w:sz w:val="16"/>
              </w:rPr>
              <w:t>Pliego hologramas</w:t>
            </w:r>
          </w:p>
        </w:tc>
        <w:tc>
          <w:tcPr>
            <w:tcW w:type="dxa" w:w="6768"/>
            <w:vAlign w:val="top"/>
          </w:tcPr>
          <w:p>
            <w:pPr>
              <w:spacing w:after="0" w:before="0"/>
              <w:jc w:val="left"/>
            </w:pPr>
            <w:r>
              <w:rPr>
                <w:rFonts w:ascii="Arial" w:hAnsi="Arial"/>
              </w:rPr>
            </w:r>
            <w:r>
              <w:rPr>
                <w:rFonts w:ascii="Arial" w:hAnsi="Arial"/>
                <w:b w:val="0"/>
                <w:sz w:val="16"/>
              </w:rPr>
              <w:t>Controlar riesgos tecnológicos e IP.</w:t>
            </w:r>
          </w:p>
        </w:tc>
        <w:tc>
          <w:tcPr>
            <w:tcW w:type="dxa" w:w="1728"/>
            <w:vAlign w:val="top"/>
          </w:tcPr>
          <w:p>
            <w:pPr>
              <w:spacing w:after="0" w:before="0"/>
              <w:jc w:val="left"/>
            </w:pPr>
            <w:r>
              <w:rPr>
                <w:rFonts w:ascii="Arial" w:hAnsi="Arial"/>
              </w:rPr>
            </w:r>
            <w:r>
              <w:rPr>
                <w:rFonts w:ascii="Arial" w:hAnsi="Arial"/>
                <w:b w:val="0"/>
                <w:sz w:val="16"/>
              </w:rPr>
              <w:t>ALTA</w:t>
            </w:r>
          </w:p>
        </w:tc>
      </w:tr>
      <w:tr>
        <w:trPr>
          <w:cantSplit/>
        </w:trPr>
        <w:tc>
          <w:tcPr>
            <w:tcW w:type="dxa" w:w="3311"/>
            <w:vAlign w:val="top"/>
          </w:tcPr>
          <w:p>
            <w:pPr>
              <w:spacing w:after="0" w:before="0"/>
              <w:jc w:val="left"/>
            </w:pPr>
            <w:r>
              <w:rPr>
                <w:rFonts w:ascii="Arial" w:hAnsi="Arial"/>
              </w:rPr>
            </w:r>
            <w:r>
              <w:rPr>
                <w:rFonts w:ascii="Arial" w:hAnsi="Arial"/>
                <w:b w:val="0"/>
                <w:sz w:val="16"/>
              </w:rPr>
              <w:t>Matriz cuidados</w:t>
            </w:r>
          </w:p>
        </w:tc>
        <w:tc>
          <w:tcPr>
            <w:tcW w:type="dxa" w:w="6768"/>
            <w:vAlign w:val="top"/>
          </w:tcPr>
          <w:p>
            <w:pPr>
              <w:spacing w:after="0" w:before="0"/>
              <w:jc w:val="left"/>
            </w:pPr>
            <w:r>
              <w:rPr>
                <w:rFonts w:ascii="Arial" w:hAnsi="Arial"/>
              </w:rPr>
            </w:r>
            <w:r>
              <w:rPr>
                <w:rFonts w:ascii="Arial" w:hAnsi="Arial"/>
                <w:b w:val="0"/>
                <w:sz w:val="16"/>
              </w:rPr>
              <w:t>Asegurar autorización sectorial y explotación.</w:t>
            </w:r>
          </w:p>
        </w:tc>
        <w:tc>
          <w:tcPr>
            <w:tcW w:type="dxa" w:w="1728"/>
            <w:vAlign w:val="top"/>
          </w:tcPr>
          <w:p>
            <w:pPr>
              <w:spacing w:after="0" w:before="0"/>
              <w:jc w:val="left"/>
            </w:pPr>
            <w:r>
              <w:rPr>
                <w:rFonts w:ascii="Arial" w:hAnsi="Arial"/>
              </w:rPr>
            </w:r>
            <w:r>
              <w:rPr>
                <w:rFonts w:ascii="Arial" w:hAnsi="Arial"/>
                <w:b w:val="0"/>
                <w:sz w:val="16"/>
              </w:rPr>
              <w:t>ALTA</w:t>
            </w:r>
          </w:p>
        </w:tc>
      </w:tr>
      <w:tr>
        <w:trPr>
          <w:cantSplit/>
        </w:trPr>
        <w:tc>
          <w:tcPr>
            <w:tcW w:type="dxa" w:w="3311"/>
            <w:vAlign w:val="top"/>
          </w:tcPr>
          <w:p>
            <w:pPr>
              <w:spacing w:after="0" w:before="0"/>
              <w:jc w:val="left"/>
            </w:pPr>
            <w:r>
              <w:rPr>
                <w:rFonts w:ascii="Arial" w:hAnsi="Arial"/>
              </w:rPr>
            </w:r>
            <w:r>
              <w:rPr>
                <w:rFonts w:ascii="Arial" w:hAnsi="Arial"/>
                <w:b w:val="0"/>
                <w:sz w:val="16"/>
              </w:rPr>
              <w:t>Protocolo vivienda vacía</w:t>
            </w:r>
          </w:p>
        </w:tc>
        <w:tc>
          <w:tcPr>
            <w:tcW w:type="dxa" w:w="6768"/>
            <w:vAlign w:val="top"/>
          </w:tcPr>
          <w:p>
            <w:pPr>
              <w:spacing w:after="0" w:before="0"/>
              <w:jc w:val="left"/>
            </w:pPr>
            <w:r>
              <w:rPr>
                <w:rFonts w:ascii="Arial" w:hAnsi="Arial"/>
              </w:rPr>
            </w:r>
            <w:r>
              <w:rPr>
                <w:rFonts w:ascii="Arial" w:hAnsi="Arial"/>
                <w:b w:val="0"/>
                <w:sz w:val="16"/>
              </w:rPr>
              <w:t>Pasar de idea a gestión operativa con acuerdos privados.</w:t>
            </w:r>
          </w:p>
        </w:tc>
        <w:tc>
          <w:tcPr>
            <w:tcW w:type="dxa" w:w="1728"/>
            <w:vAlign w:val="top"/>
          </w:tcPr>
          <w:p>
            <w:pPr>
              <w:spacing w:after="0" w:before="0"/>
              <w:jc w:val="left"/>
            </w:pPr>
            <w:r>
              <w:rPr>
                <w:rFonts w:ascii="Arial" w:hAnsi="Arial"/>
              </w:rPr>
            </w:r>
            <w:r>
              <w:rPr>
                <w:rFonts w:ascii="Arial" w:hAnsi="Arial"/>
                <w:b w:val="0"/>
                <w:sz w:val="16"/>
              </w:rPr>
              <w:t>ALTA</w:t>
            </w:r>
          </w:p>
        </w:tc>
      </w:tr>
    </w:tbl>
    <w:p/>
    <w:p>
      <w:pPr>
        <w:pStyle w:val="Heading1"/>
      </w:pPr>
      <w:r>
        <w:t>11. Matriz comparativa de urgencias por PAI</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1872"/>
            <w:shd w:fill="1F4E79"/>
            <w:vAlign w:val="center"/>
          </w:tcPr>
          <w:p>
            <w:pPr>
              <w:spacing w:after="0" w:before="0"/>
              <w:jc w:val="left"/>
            </w:pPr>
            <w:r>
              <w:rPr>
                <w:rFonts w:ascii="Arial" w:hAnsi="Arial"/>
              </w:rPr>
            </w:r>
            <w:r>
              <w:rPr>
                <w:rFonts w:ascii="Arial" w:hAnsi="Arial"/>
                <w:b/>
                <w:color w:val="FFFFFF"/>
                <w:sz w:val="16"/>
              </w:rPr>
              <w:t>PAI</w:t>
            </w:r>
          </w:p>
        </w:tc>
        <w:tc>
          <w:tcPr>
            <w:tcW w:type="dxa" w:w="3744"/>
            <w:shd w:fill="1F4E79"/>
            <w:vAlign w:val="center"/>
          </w:tcPr>
          <w:p>
            <w:pPr>
              <w:spacing w:after="0" w:before="0"/>
              <w:jc w:val="left"/>
            </w:pPr>
            <w:r>
              <w:rPr>
                <w:rFonts w:ascii="Arial" w:hAnsi="Arial"/>
              </w:rPr>
            </w:r>
            <w:r>
              <w:rPr>
                <w:rFonts w:ascii="Arial" w:hAnsi="Arial"/>
                <w:b/>
                <w:color w:val="FFFFFF"/>
                <w:sz w:val="16"/>
              </w:rPr>
              <w:t>Punto fuerte</w:t>
            </w:r>
          </w:p>
        </w:tc>
        <w:tc>
          <w:tcPr>
            <w:tcW w:type="dxa" w:w="3744"/>
            <w:shd w:fill="1F4E79"/>
            <w:vAlign w:val="center"/>
          </w:tcPr>
          <w:p>
            <w:pPr>
              <w:spacing w:after="0" w:before="0"/>
              <w:jc w:val="left"/>
            </w:pPr>
            <w:r>
              <w:rPr>
                <w:rFonts w:ascii="Arial" w:hAnsi="Arial"/>
              </w:rPr>
            </w:r>
            <w:r>
              <w:rPr>
                <w:rFonts w:ascii="Arial" w:hAnsi="Arial"/>
                <w:b/>
                <w:color w:val="FFFFFF"/>
                <w:sz w:val="16"/>
              </w:rPr>
              <w:t>Riesgo crítico o alto</w:t>
            </w:r>
          </w:p>
        </w:tc>
        <w:tc>
          <w:tcPr>
            <w:tcW w:type="dxa" w:w="3456"/>
            <w:shd w:fill="1F4E79"/>
            <w:vAlign w:val="center"/>
          </w:tcPr>
          <w:p>
            <w:pPr>
              <w:spacing w:after="0" w:before="0"/>
              <w:jc w:val="left"/>
            </w:pPr>
            <w:r>
              <w:rPr>
                <w:rFonts w:ascii="Arial" w:hAnsi="Arial"/>
              </w:rPr>
            </w:r>
            <w:r>
              <w:rPr>
                <w:rFonts w:ascii="Arial" w:hAnsi="Arial"/>
                <w:b/>
                <w:color w:val="FFFFFF"/>
                <w:sz w:val="16"/>
              </w:rPr>
              <w:t>Actuación prioritaria</w:t>
            </w:r>
          </w:p>
        </w:tc>
      </w:tr>
      <w:tr>
        <w:trPr>
          <w:cantSplit/>
        </w:trPr>
        <w:tc>
          <w:tcPr>
            <w:tcW w:type="dxa" w:w="1872"/>
            <w:vAlign w:val="top"/>
          </w:tcPr>
          <w:p>
            <w:pPr>
              <w:spacing w:after="0" w:before="0"/>
              <w:jc w:val="left"/>
            </w:pPr>
            <w:r>
              <w:rPr>
                <w:rFonts w:ascii="Arial" w:hAnsi="Arial"/>
              </w:rPr>
            </w:r>
            <w:r>
              <w:rPr>
                <w:rFonts w:ascii="Arial" w:hAnsi="Arial"/>
                <w:b w:val="0"/>
                <w:sz w:val="16"/>
              </w:rPr>
              <w:t>Genil</w:t>
            </w:r>
          </w:p>
        </w:tc>
        <w:tc>
          <w:tcPr>
            <w:tcW w:type="dxa" w:w="3744"/>
            <w:vAlign w:val="top"/>
          </w:tcPr>
          <w:p>
            <w:pPr>
              <w:spacing w:after="0" w:before="0"/>
              <w:jc w:val="left"/>
            </w:pPr>
            <w:r>
              <w:rPr>
                <w:rFonts w:ascii="Arial" w:hAnsi="Arial"/>
              </w:rPr>
            </w:r>
            <w:r>
              <w:rPr>
                <w:rFonts w:ascii="Arial" w:hAnsi="Arial"/>
                <w:b w:val="0"/>
                <w:sz w:val="16"/>
              </w:rPr>
              <w:t>Buena estructura en cuatro proyectos y no solapamiento con PAI Loja.</w:t>
            </w:r>
          </w:p>
        </w:tc>
        <w:tc>
          <w:tcPr>
            <w:tcW w:type="dxa" w:w="3744"/>
            <w:vAlign w:val="top"/>
          </w:tcPr>
          <w:p>
            <w:pPr>
              <w:spacing w:after="0" w:before="0"/>
              <w:jc w:val="left"/>
            </w:pPr>
            <w:r>
              <w:rPr>
                <w:rFonts w:ascii="Arial" w:hAnsi="Arial"/>
              </w:rPr>
            </w:r>
            <w:r>
              <w:rPr>
                <w:rFonts w:ascii="Arial" w:hAnsi="Arial"/>
                <w:b w:val="0"/>
                <w:sz w:val="16"/>
              </w:rPr>
              <w:t>Madurez baja en wifi público y media en Smart Cities.</w:t>
            </w:r>
          </w:p>
        </w:tc>
        <w:tc>
          <w:tcPr>
            <w:tcW w:type="dxa" w:w="3456"/>
            <w:vAlign w:val="top"/>
          </w:tcPr>
          <w:p>
            <w:pPr>
              <w:spacing w:after="0" w:before="0"/>
              <w:jc w:val="left"/>
            </w:pPr>
            <w:r>
              <w:rPr>
                <w:rFonts w:ascii="Arial" w:hAnsi="Arial"/>
              </w:rPr>
            </w:r>
            <w:r>
              <w:rPr>
                <w:rFonts w:ascii="Arial" w:hAnsi="Arial"/>
                <w:b w:val="0"/>
                <w:sz w:val="16"/>
              </w:rPr>
              <w:t>Pliego técnico digital y selección formal de operaciones.</w:t>
            </w:r>
          </w:p>
        </w:tc>
      </w:tr>
      <w:tr>
        <w:trPr>
          <w:cantSplit/>
        </w:trPr>
        <w:tc>
          <w:tcPr>
            <w:tcW w:type="dxa" w:w="1872"/>
            <w:vAlign w:val="top"/>
          </w:tcPr>
          <w:p>
            <w:pPr>
              <w:spacing w:after="0" w:before="0"/>
              <w:jc w:val="left"/>
            </w:pPr>
            <w:r>
              <w:rPr>
                <w:rFonts w:ascii="Arial" w:hAnsi="Arial"/>
              </w:rPr>
            </w:r>
            <w:r>
              <w:rPr>
                <w:rFonts w:ascii="Arial" w:hAnsi="Arial"/>
                <w:b w:val="0"/>
                <w:sz w:val="16"/>
              </w:rPr>
              <w:t>Costa</w:t>
            </w:r>
          </w:p>
        </w:tc>
        <w:tc>
          <w:tcPr>
            <w:tcW w:type="dxa" w:w="3744"/>
            <w:vAlign w:val="top"/>
          </w:tcPr>
          <w:p>
            <w:pPr>
              <w:spacing w:after="0" w:before="0"/>
              <w:jc w:val="left"/>
            </w:pPr>
            <w:r>
              <w:rPr>
                <w:rFonts w:ascii="Arial" w:hAnsi="Arial"/>
              </w:rPr>
            </w:r>
            <w:r>
              <w:rPr>
                <w:rFonts w:ascii="Arial" w:hAnsi="Arial"/>
                <w:b w:val="0"/>
                <w:sz w:val="16"/>
              </w:rPr>
              <w:t>Senda Litoral con tramos maduros y proyecto constructivo.</w:t>
            </w:r>
          </w:p>
        </w:tc>
        <w:tc>
          <w:tcPr>
            <w:tcW w:type="dxa" w:w="3744"/>
            <w:vAlign w:val="top"/>
          </w:tcPr>
          <w:p>
            <w:pPr>
              <w:spacing w:after="0" w:before="0"/>
              <w:jc w:val="left"/>
            </w:pPr>
            <w:r>
              <w:rPr>
                <w:rFonts w:ascii="Arial" w:hAnsi="Arial"/>
              </w:rPr>
            </w:r>
            <w:r>
              <w:rPr>
                <w:rFonts w:ascii="Arial" w:hAnsi="Arial"/>
                <w:b w:val="0"/>
                <w:sz w:val="16"/>
              </w:rPr>
              <w:t>Presupuesto de memoria y margen 21,93 % muy ajustado.</w:t>
            </w:r>
          </w:p>
        </w:tc>
        <w:tc>
          <w:tcPr>
            <w:tcW w:type="dxa" w:w="3456"/>
            <w:vAlign w:val="top"/>
          </w:tcPr>
          <w:p>
            <w:pPr>
              <w:spacing w:after="0" w:before="0"/>
              <w:jc w:val="left"/>
            </w:pPr>
            <w:r>
              <w:rPr>
                <w:rFonts w:ascii="Arial" w:hAnsi="Arial"/>
              </w:rPr>
            </w:r>
            <w:r>
              <w:rPr>
                <w:rFonts w:ascii="Arial" w:hAnsi="Arial"/>
                <w:b w:val="0"/>
                <w:sz w:val="16"/>
              </w:rPr>
              <w:t>Conciliación financiera y aceleración de certificación.</w:t>
            </w:r>
          </w:p>
        </w:tc>
      </w:tr>
      <w:tr>
        <w:trPr>
          <w:cantSplit/>
        </w:trPr>
        <w:tc>
          <w:tcPr>
            <w:tcW w:type="dxa" w:w="1872"/>
            <w:vAlign w:val="top"/>
          </w:tcPr>
          <w:p>
            <w:pPr>
              <w:spacing w:after="0" w:before="0"/>
              <w:jc w:val="left"/>
            </w:pPr>
            <w:r>
              <w:rPr>
                <w:rFonts w:ascii="Arial" w:hAnsi="Arial"/>
              </w:rPr>
            </w:r>
            <w:r>
              <w:rPr>
                <w:rFonts w:ascii="Arial" w:hAnsi="Arial"/>
                <w:b w:val="0"/>
                <w:sz w:val="16"/>
              </w:rPr>
              <w:t>Metrópoli Suroeste</w:t>
            </w:r>
          </w:p>
        </w:tc>
        <w:tc>
          <w:tcPr>
            <w:tcW w:type="dxa" w:w="3744"/>
            <w:vAlign w:val="top"/>
          </w:tcPr>
          <w:p>
            <w:pPr>
              <w:spacing w:after="0" w:before="0"/>
              <w:jc w:val="left"/>
            </w:pPr>
            <w:r>
              <w:rPr>
                <w:rFonts w:ascii="Arial" w:hAnsi="Arial"/>
              </w:rPr>
            </w:r>
            <w:r>
              <w:rPr>
                <w:rFonts w:ascii="Arial" w:hAnsi="Arial"/>
                <w:b w:val="0"/>
                <w:sz w:val="16"/>
              </w:rPr>
              <w:t>Alto grado de madurez y previsión &gt;80 % seleccionado y &gt;40 % certificado.</w:t>
            </w:r>
          </w:p>
        </w:tc>
        <w:tc>
          <w:tcPr>
            <w:tcW w:type="dxa" w:w="3744"/>
            <w:vAlign w:val="top"/>
          </w:tcPr>
          <w:p>
            <w:pPr>
              <w:spacing w:after="0" w:before="0"/>
              <w:jc w:val="left"/>
            </w:pPr>
            <w:r>
              <w:rPr>
                <w:rFonts w:ascii="Arial" w:hAnsi="Arial"/>
              </w:rPr>
            </w:r>
            <w:r>
              <w:rPr>
                <w:rFonts w:ascii="Arial" w:hAnsi="Arial"/>
                <w:b w:val="0"/>
                <w:sz w:val="16"/>
              </w:rPr>
              <w:t>Permisos acumulados en P01-1.1 y necesidad de evidenciar lo declarado.</w:t>
            </w:r>
          </w:p>
        </w:tc>
        <w:tc>
          <w:tcPr>
            <w:tcW w:type="dxa" w:w="3456"/>
            <w:vAlign w:val="top"/>
          </w:tcPr>
          <w:p>
            <w:pPr>
              <w:spacing w:after="0" w:before="0"/>
              <w:jc w:val="left"/>
            </w:pPr>
            <w:r>
              <w:rPr>
                <w:rFonts w:ascii="Arial" w:hAnsi="Arial"/>
              </w:rPr>
            </w:r>
            <w:r>
              <w:rPr>
                <w:rFonts w:ascii="Arial" w:hAnsi="Arial"/>
                <w:b w:val="0"/>
                <w:sz w:val="16"/>
              </w:rPr>
              <w:t>Dossier 2027 con contratos, certificaciones y permisos.</w:t>
            </w:r>
          </w:p>
        </w:tc>
      </w:tr>
      <w:tr>
        <w:trPr>
          <w:cantSplit/>
        </w:trPr>
        <w:tc>
          <w:tcPr>
            <w:tcW w:type="dxa" w:w="1872"/>
            <w:vAlign w:val="top"/>
          </w:tcPr>
          <w:p>
            <w:pPr>
              <w:spacing w:after="0" w:before="0"/>
              <w:jc w:val="left"/>
            </w:pPr>
            <w:r>
              <w:rPr>
                <w:rFonts w:ascii="Arial" w:hAnsi="Arial"/>
              </w:rPr>
            </w:r>
            <w:r>
              <w:rPr>
                <w:rFonts w:ascii="Arial" w:hAnsi="Arial"/>
                <w:b w:val="0"/>
                <w:sz w:val="16"/>
              </w:rPr>
              <w:t>Guadix</w:t>
            </w:r>
          </w:p>
        </w:tc>
        <w:tc>
          <w:tcPr>
            <w:tcW w:type="dxa" w:w="3744"/>
            <w:vAlign w:val="top"/>
          </w:tcPr>
          <w:p>
            <w:pPr>
              <w:spacing w:after="0" w:before="0"/>
              <w:jc w:val="left"/>
            </w:pPr>
            <w:r>
              <w:rPr>
                <w:rFonts w:ascii="Arial" w:hAnsi="Arial"/>
              </w:rPr>
            </w:r>
            <w:r>
              <w:rPr>
                <w:rFonts w:ascii="Arial" w:hAnsi="Arial"/>
                <w:b w:val="0"/>
                <w:sz w:val="16"/>
              </w:rPr>
              <w:t>Identidad territorial fuerte, Geoparque y Hábitat Cueva.</w:t>
            </w:r>
          </w:p>
        </w:tc>
        <w:tc>
          <w:tcPr>
            <w:tcW w:type="dxa" w:w="3744"/>
            <w:vAlign w:val="top"/>
          </w:tcPr>
          <w:p>
            <w:pPr>
              <w:spacing w:after="0" w:before="0"/>
              <w:jc w:val="left"/>
            </w:pPr>
            <w:r>
              <w:rPr>
                <w:rFonts w:ascii="Arial" w:hAnsi="Arial"/>
              </w:rPr>
            </w:r>
            <w:r>
              <w:rPr>
                <w:rFonts w:ascii="Arial" w:hAnsi="Arial"/>
                <w:b w:val="0"/>
                <w:sz w:val="16"/>
              </w:rPr>
              <w:t>Autorizaciones de Medio Ambiente y Cultura previstas para 4T 2025.</w:t>
            </w:r>
          </w:p>
        </w:tc>
        <w:tc>
          <w:tcPr>
            <w:tcW w:type="dxa" w:w="3456"/>
            <w:vAlign w:val="top"/>
          </w:tcPr>
          <w:p>
            <w:pPr>
              <w:spacing w:after="0" w:before="0"/>
              <w:jc w:val="left"/>
            </w:pPr>
            <w:r>
              <w:rPr>
                <w:rFonts w:ascii="Arial" w:hAnsi="Arial"/>
              </w:rPr>
            </w:r>
            <w:r>
              <w:rPr>
                <w:rFonts w:ascii="Arial" w:hAnsi="Arial"/>
                <w:b w:val="0"/>
                <w:sz w:val="16"/>
              </w:rPr>
              <w:t>Verificación inmediata de autorizaciones y matriz barrios cueva.</w:t>
            </w:r>
          </w:p>
        </w:tc>
      </w:tr>
      <w:tr>
        <w:trPr>
          <w:cantSplit/>
        </w:trPr>
        <w:tc>
          <w:tcPr>
            <w:tcW w:type="dxa" w:w="1872"/>
            <w:vAlign w:val="top"/>
          </w:tcPr>
          <w:p>
            <w:pPr>
              <w:spacing w:after="0" w:before="0"/>
              <w:jc w:val="left"/>
            </w:pPr>
            <w:r>
              <w:rPr>
                <w:rFonts w:ascii="Arial" w:hAnsi="Arial"/>
              </w:rPr>
            </w:r>
            <w:r>
              <w:rPr>
                <w:rFonts w:ascii="Arial" w:hAnsi="Arial"/>
                <w:b w:val="0"/>
                <w:sz w:val="16"/>
              </w:rPr>
              <w:t>Alpujarra</w:t>
            </w:r>
          </w:p>
        </w:tc>
        <w:tc>
          <w:tcPr>
            <w:tcW w:type="dxa" w:w="3744"/>
            <w:vAlign w:val="top"/>
          </w:tcPr>
          <w:p>
            <w:pPr>
              <w:spacing w:after="0" w:before="0"/>
              <w:jc w:val="left"/>
            </w:pPr>
            <w:r>
              <w:rPr>
                <w:rFonts w:ascii="Arial" w:hAnsi="Arial"/>
              </w:rPr>
            </w:r>
            <w:r>
              <w:rPr>
                <w:rFonts w:ascii="Arial" w:hAnsi="Arial"/>
                <w:b w:val="0"/>
                <w:sz w:val="16"/>
              </w:rPr>
              <w:t>Coherencia EDIL-AUR y presupuesto cuadrado a 10M.</w:t>
            </w:r>
          </w:p>
        </w:tc>
        <w:tc>
          <w:tcPr>
            <w:tcW w:type="dxa" w:w="3744"/>
            <w:vAlign w:val="top"/>
          </w:tcPr>
          <w:p>
            <w:pPr>
              <w:spacing w:after="0" w:before="0"/>
              <w:jc w:val="left"/>
            </w:pPr>
            <w:r>
              <w:rPr>
                <w:rFonts w:ascii="Arial" w:hAnsi="Arial"/>
              </w:rPr>
            </w:r>
            <w:r>
              <w:rPr>
                <w:rFonts w:ascii="Arial" w:hAnsi="Arial"/>
                <w:b w:val="0"/>
                <w:sz w:val="16"/>
              </w:rPr>
              <w:t>Senda 20,82 % a 31/03/2027, margen muy estrecho.</w:t>
            </w:r>
          </w:p>
        </w:tc>
        <w:tc>
          <w:tcPr>
            <w:tcW w:type="dxa" w:w="3456"/>
            <w:vAlign w:val="top"/>
          </w:tcPr>
          <w:p>
            <w:pPr>
              <w:spacing w:after="0" w:before="0"/>
              <w:jc w:val="left"/>
            </w:pPr>
            <w:r>
              <w:rPr>
                <w:rFonts w:ascii="Arial" w:hAnsi="Arial"/>
              </w:rPr>
            </w:r>
            <w:r>
              <w:rPr>
                <w:rFonts w:ascii="Arial" w:hAnsi="Arial"/>
                <w:b w:val="0"/>
                <w:sz w:val="16"/>
              </w:rPr>
              <w:t>Plan de choque 20/70 y matriz de permisos.</w:t>
            </w:r>
          </w:p>
        </w:tc>
      </w:tr>
      <w:tr>
        <w:trPr>
          <w:cantSplit/>
        </w:trPr>
        <w:tc>
          <w:tcPr>
            <w:tcW w:type="dxa" w:w="1872"/>
            <w:vAlign w:val="top"/>
          </w:tcPr>
          <w:p>
            <w:pPr>
              <w:spacing w:after="0" w:before="0"/>
              <w:jc w:val="left"/>
            </w:pPr>
            <w:r>
              <w:rPr>
                <w:rFonts w:ascii="Arial" w:hAnsi="Arial"/>
              </w:rPr>
            </w:r>
            <w:r>
              <w:rPr>
                <w:rFonts w:ascii="Arial" w:hAnsi="Arial"/>
                <w:b w:val="0"/>
                <w:sz w:val="16"/>
              </w:rPr>
              <w:t>Montes Occidentales</w:t>
            </w:r>
          </w:p>
        </w:tc>
        <w:tc>
          <w:tcPr>
            <w:tcW w:type="dxa" w:w="3744"/>
            <w:vAlign w:val="top"/>
          </w:tcPr>
          <w:p>
            <w:pPr>
              <w:spacing w:after="0" w:before="0"/>
              <w:jc w:val="left"/>
            </w:pPr>
            <w:r>
              <w:rPr>
                <w:rFonts w:ascii="Arial" w:hAnsi="Arial"/>
              </w:rPr>
            </w:r>
            <w:r>
              <w:rPr>
                <w:rFonts w:ascii="Arial" w:hAnsi="Arial"/>
                <w:b w:val="0"/>
                <w:sz w:val="16"/>
              </w:rPr>
              <w:t>Gobernanza descrita con UG, UE, antifraude y comité técnico mensual.</w:t>
            </w:r>
          </w:p>
        </w:tc>
        <w:tc>
          <w:tcPr>
            <w:tcW w:type="dxa" w:w="3744"/>
            <w:vAlign w:val="top"/>
          </w:tcPr>
          <w:p>
            <w:pPr>
              <w:spacing w:after="0" w:before="0"/>
              <w:jc w:val="left"/>
            </w:pPr>
            <w:r>
              <w:rPr>
                <w:rFonts w:ascii="Arial" w:hAnsi="Arial"/>
              </w:rPr>
            </w:r>
            <w:r>
              <w:rPr>
                <w:rFonts w:ascii="Arial" w:hAnsi="Arial"/>
                <w:b w:val="0"/>
                <w:sz w:val="16"/>
              </w:rPr>
              <w:t>Presupuesto con AT, hologramas, cuidados y vivienda vacía.</w:t>
            </w:r>
          </w:p>
        </w:tc>
        <w:tc>
          <w:tcPr>
            <w:tcW w:type="dxa" w:w="3456"/>
            <w:vAlign w:val="top"/>
          </w:tcPr>
          <w:p>
            <w:pPr>
              <w:spacing w:after="0" w:before="0"/>
              <w:jc w:val="left"/>
            </w:pPr>
            <w:r>
              <w:rPr>
                <w:rFonts w:ascii="Arial" w:hAnsi="Arial"/>
              </w:rPr>
            </w:r>
            <w:r>
              <w:rPr>
                <w:rFonts w:ascii="Arial" w:hAnsi="Arial"/>
                <w:b w:val="0"/>
                <w:sz w:val="16"/>
              </w:rPr>
              <w:t>Conciliación financiera, pliego tecnológico y protocolo vivienda/cuidados.</w:t>
            </w:r>
          </w:p>
        </w:tc>
      </w:tr>
    </w:tbl>
    <w:p/>
    <w:p>
      <w:pPr>
        <w:pStyle w:val="Heading1"/>
      </w:pPr>
      <w:r>
        <w:t>12. Plan de acción inmediato, 30, 60 y 90 días</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1440"/>
            <w:shd w:fill="1F4E79"/>
            <w:vAlign w:val="center"/>
          </w:tcPr>
          <w:p>
            <w:pPr>
              <w:spacing w:after="0" w:before="0"/>
              <w:jc w:val="left"/>
            </w:pPr>
            <w:r>
              <w:rPr>
                <w:rFonts w:ascii="Arial" w:hAnsi="Arial"/>
              </w:rPr>
            </w:r>
            <w:r>
              <w:rPr>
                <w:rFonts w:ascii="Arial" w:hAnsi="Arial"/>
                <w:b/>
                <w:color w:val="FFFFFF"/>
                <w:sz w:val="16"/>
              </w:rPr>
              <w:t>Plazo</w:t>
            </w:r>
          </w:p>
        </w:tc>
        <w:tc>
          <w:tcPr>
            <w:tcW w:type="dxa" w:w="5903"/>
            <w:shd w:fill="1F4E79"/>
            <w:vAlign w:val="center"/>
          </w:tcPr>
          <w:p>
            <w:pPr>
              <w:spacing w:after="0" w:before="0"/>
              <w:jc w:val="left"/>
            </w:pPr>
            <w:r>
              <w:rPr>
                <w:rFonts w:ascii="Arial" w:hAnsi="Arial"/>
              </w:rPr>
            </w:r>
            <w:r>
              <w:rPr>
                <w:rFonts w:ascii="Arial" w:hAnsi="Arial"/>
                <w:b/>
                <w:color w:val="FFFFFF"/>
                <w:sz w:val="16"/>
              </w:rPr>
              <w:t>Acción</w:t>
            </w:r>
          </w:p>
        </w:tc>
        <w:tc>
          <w:tcPr>
            <w:tcW w:type="dxa" w:w="2880"/>
            <w:shd w:fill="1F4E79"/>
            <w:vAlign w:val="center"/>
          </w:tcPr>
          <w:p>
            <w:pPr>
              <w:spacing w:after="0" w:before="0"/>
              <w:jc w:val="left"/>
            </w:pPr>
            <w:r>
              <w:rPr>
                <w:rFonts w:ascii="Arial" w:hAnsi="Arial"/>
              </w:rPr>
            </w:r>
            <w:r>
              <w:rPr>
                <w:rFonts w:ascii="Arial" w:hAnsi="Arial"/>
                <w:b/>
                <w:color w:val="FFFFFF"/>
                <w:sz w:val="16"/>
              </w:rPr>
              <w:t>Responsable recomendado</w:t>
            </w:r>
          </w:p>
        </w:tc>
        <w:tc>
          <w:tcPr>
            <w:tcW w:type="dxa" w:w="2880"/>
            <w:shd w:fill="1F4E79"/>
            <w:vAlign w:val="center"/>
          </w:tcPr>
          <w:p>
            <w:pPr>
              <w:spacing w:after="0" w:before="0"/>
              <w:jc w:val="left"/>
            </w:pPr>
            <w:r>
              <w:rPr>
                <w:rFonts w:ascii="Arial" w:hAnsi="Arial"/>
              </w:rPr>
            </w:r>
            <w:r>
              <w:rPr>
                <w:rFonts w:ascii="Arial" w:hAnsi="Arial"/>
                <w:b/>
                <w:color w:val="FFFFFF"/>
                <w:sz w:val="16"/>
              </w:rPr>
              <w:t>Resultado esperado</w:t>
            </w:r>
          </w:p>
        </w:tc>
      </w:tr>
      <w:tr>
        <w:trPr>
          <w:cantSplit/>
        </w:trPr>
        <w:tc>
          <w:tcPr>
            <w:tcW w:type="dxa" w:w="1440"/>
            <w:vAlign w:val="top"/>
          </w:tcPr>
          <w:p>
            <w:pPr>
              <w:spacing w:after="0" w:before="0"/>
              <w:jc w:val="left"/>
            </w:pPr>
            <w:r>
              <w:rPr>
                <w:rFonts w:ascii="Arial" w:hAnsi="Arial"/>
              </w:rPr>
            </w:r>
            <w:r>
              <w:rPr>
                <w:rFonts w:ascii="Arial" w:hAnsi="Arial"/>
                <w:b w:val="0"/>
                <w:sz w:val="16"/>
              </w:rPr>
              <w:t>0-15 días</w:t>
            </w:r>
          </w:p>
        </w:tc>
        <w:tc>
          <w:tcPr>
            <w:tcW w:type="dxa" w:w="5903"/>
            <w:vAlign w:val="top"/>
          </w:tcPr>
          <w:p>
            <w:pPr>
              <w:spacing w:after="0" w:before="0"/>
              <w:jc w:val="left"/>
            </w:pPr>
            <w:r>
              <w:rPr>
                <w:rFonts w:ascii="Arial" w:hAnsi="Arial"/>
              </w:rPr>
            </w:r>
            <w:r>
              <w:rPr>
                <w:rFonts w:ascii="Arial" w:hAnsi="Arial"/>
                <w:b w:val="0"/>
                <w:sz w:val="16"/>
              </w:rPr>
              <w:t>Verificar expediente posterior a la resolución definitiva: Descripción de Funciones, Manual de Procedimientos, Excel antifraude y aceptación del Acuerdo de Atribución de Funciones.</w:t>
            </w:r>
          </w:p>
        </w:tc>
        <w:tc>
          <w:tcPr>
            <w:tcW w:type="dxa" w:w="2880"/>
            <w:vAlign w:val="top"/>
          </w:tcPr>
          <w:p>
            <w:pPr>
              <w:spacing w:after="0" w:before="0"/>
              <w:jc w:val="left"/>
            </w:pPr>
            <w:r>
              <w:rPr>
                <w:rFonts w:ascii="Arial" w:hAnsi="Arial"/>
              </w:rPr>
            </w:r>
            <w:r>
              <w:rPr>
                <w:rFonts w:ascii="Arial" w:hAnsi="Arial"/>
                <w:b w:val="0"/>
                <w:sz w:val="16"/>
              </w:rPr>
              <w:t>Unidad de Gestión con apoyo Vanguardia.Tech.</w:t>
            </w:r>
          </w:p>
        </w:tc>
        <w:tc>
          <w:tcPr>
            <w:tcW w:type="dxa" w:w="2880"/>
            <w:vAlign w:val="top"/>
          </w:tcPr>
          <w:p>
            <w:pPr>
              <w:spacing w:after="0" w:before="0"/>
              <w:jc w:val="left"/>
            </w:pPr>
            <w:r>
              <w:rPr>
                <w:rFonts w:ascii="Arial" w:hAnsi="Arial"/>
              </w:rPr>
            </w:r>
            <w:r>
              <w:rPr>
                <w:rFonts w:ascii="Arial" w:hAnsi="Arial"/>
                <w:b w:val="0"/>
                <w:sz w:val="16"/>
              </w:rPr>
              <w:t>Confirmación documental o plan de subsanación inmediata.</w:t>
            </w:r>
          </w:p>
        </w:tc>
      </w:tr>
      <w:tr>
        <w:trPr>
          <w:cantSplit/>
        </w:trPr>
        <w:tc>
          <w:tcPr>
            <w:tcW w:type="dxa" w:w="1440"/>
            <w:vAlign w:val="top"/>
          </w:tcPr>
          <w:p>
            <w:pPr>
              <w:spacing w:after="0" w:before="0"/>
              <w:jc w:val="left"/>
            </w:pPr>
            <w:r>
              <w:rPr>
                <w:rFonts w:ascii="Arial" w:hAnsi="Arial"/>
              </w:rPr>
            </w:r>
            <w:r>
              <w:rPr>
                <w:rFonts w:ascii="Arial" w:hAnsi="Arial"/>
                <w:b w:val="0"/>
                <w:sz w:val="16"/>
              </w:rPr>
              <w:t>0-15 días</w:t>
            </w:r>
          </w:p>
        </w:tc>
        <w:tc>
          <w:tcPr>
            <w:tcW w:type="dxa" w:w="5903"/>
            <w:vAlign w:val="top"/>
          </w:tcPr>
          <w:p>
            <w:pPr>
              <w:spacing w:after="0" w:before="0"/>
              <w:jc w:val="left"/>
            </w:pPr>
            <w:r>
              <w:rPr>
                <w:rFonts w:ascii="Arial" w:hAnsi="Arial"/>
              </w:rPr>
            </w:r>
            <w:r>
              <w:rPr>
                <w:rFonts w:ascii="Arial" w:hAnsi="Arial"/>
                <w:b w:val="0"/>
                <w:sz w:val="16"/>
              </w:rPr>
              <w:t>Crear matriz agregada de los 6 PAI con presupuesto final aprobado, FEDER, aportación, actuaciones, responsables y estado.</w:t>
            </w:r>
          </w:p>
        </w:tc>
        <w:tc>
          <w:tcPr>
            <w:tcW w:type="dxa" w:w="2880"/>
            <w:vAlign w:val="top"/>
          </w:tcPr>
          <w:p>
            <w:pPr>
              <w:spacing w:after="0" w:before="0"/>
              <w:jc w:val="left"/>
            </w:pPr>
            <w:r>
              <w:rPr>
                <w:rFonts w:ascii="Arial" w:hAnsi="Arial"/>
              </w:rPr>
            </w:r>
            <w:r>
              <w:rPr>
                <w:rFonts w:ascii="Arial" w:hAnsi="Arial"/>
                <w:b w:val="0"/>
                <w:sz w:val="16"/>
              </w:rPr>
              <w:t>Oficina Técnica PAI.</w:t>
            </w:r>
          </w:p>
        </w:tc>
        <w:tc>
          <w:tcPr>
            <w:tcW w:type="dxa" w:w="2880"/>
            <w:vAlign w:val="top"/>
          </w:tcPr>
          <w:p>
            <w:pPr>
              <w:spacing w:after="0" w:before="0"/>
              <w:jc w:val="left"/>
            </w:pPr>
            <w:r>
              <w:rPr>
                <w:rFonts w:ascii="Arial" w:hAnsi="Arial"/>
              </w:rPr>
            </w:r>
            <w:r>
              <w:rPr>
                <w:rFonts w:ascii="Arial" w:hAnsi="Arial"/>
                <w:b w:val="0"/>
                <w:sz w:val="16"/>
              </w:rPr>
              <w:t>Mapa único de control provincial.</w:t>
            </w:r>
          </w:p>
        </w:tc>
      </w:tr>
      <w:tr>
        <w:trPr>
          <w:cantSplit/>
        </w:trPr>
        <w:tc>
          <w:tcPr>
            <w:tcW w:type="dxa" w:w="1440"/>
            <w:vAlign w:val="top"/>
          </w:tcPr>
          <w:p>
            <w:pPr>
              <w:spacing w:after="0" w:before="0"/>
              <w:jc w:val="left"/>
            </w:pPr>
            <w:r>
              <w:rPr>
                <w:rFonts w:ascii="Arial" w:hAnsi="Arial"/>
              </w:rPr>
            </w:r>
            <w:r>
              <w:rPr>
                <w:rFonts w:ascii="Arial" w:hAnsi="Arial"/>
                <w:b w:val="0"/>
                <w:sz w:val="16"/>
              </w:rPr>
              <w:t>0-30 días</w:t>
            </w:r>
          </w:p>
        </w:tc>
        <w:tc>
          <w:tcPr>
            <w:tcW w:type="dxa" w:w="5903"/>
            <w:vAlign w:val="top"/>
          </w:tcPr>
          <w:p>
            <w:pPr>
              <w:spacing w:after="0" w:before="0"/>
              <w:jc w:val="left"/>
            </w:pPr>
            <w:r>
              <w:rPr>
                <w:rFonts w:ascii="Arial" w:hAnsi="Arial"/>
              </w:rPr>
            </w:r>
            <w:r>
              <w:rPr>
                <w:rFonts w:ascii="Arial" w:hAnsi="Arial"/>
                <w:b w:val="0"/>
                <w:sz w:val="16"/>
              </w:rPr>
              <w:t>Calcular por PAI el porcentaje real de operaciones seleccionadas y ayuda justificada, frente a 70 % y 20 %.</w:t>
            </w:r>
          </w:p>
        </w:tc>
        <w:tc>
          <w:tcPr>
            <w:tcW w:type="dxa" w:w="2880"/>
            <w:vAlign w:val="top"/>
          </w:tcPr>
          <w:p>
            <w:pPr>
              <w:spacing w:after="0" w:before="0"/>
              <w:jc w:val="left"/>
            </w:pPr>
            <w:r>
              <w:rPr>
                <w:rFonts w:ascii="Arial" w:hAnsi="Arial"/>
              </w:rPr>
            </w:r>
            <w:r>
              <w:rPr>
                <w:rFonts w:ascii="Arial" w:hAnsi="Arial"/>
                <w:b w:val="0"/>
                <w:sz w:val="16"/>
              </w:rPr>
              <w:t>Intervención, contratación, unidad gestora y asistencia técnica.</w:t>
            </w:r>
          </w:p>
        </w:tc>
        <w:tc>
          <w:tcPr>
            <w:tcW w:type="dxa" w:w="2880"/>
            <w:vAlign w:val="top"/>
          </w:tcPr>
          <w:p>
            <w:pPr>
              <w:spacing w:after="0" w:before="0"/>
              <w:jc w:val="left"/>
            </w:pPr>
            <w:r>
              <w:rPr>
                <w:rFonts w:ascii="Arial" w:hAnsi="Arial"/>
              </w:rPr>
            </w:r>
            <w:r>
              <w:rPr>
                <w:rFonts w:ascii="Arial" w:hAnsi="Arial"/>
                <w:b w:val="0"/>
                <w:sz w:val="16"/>
              </w:rPr>
              <w:t>Semáforo 31/03/2027.</w:t>
            </w:r>
          </w:p>
        </w:tc>
      </w:tr>
      <w:tr>
        <w:trPr>
          <w:cantSplit/>
        </w:trPr>
        <w:tc>
          <w:tcPr>
            <w:tcW w:type="dxa" w:w="1440"/>
            <w:vAlign w:val="top"/>
          </w:tcPr>
          <w:p>
            <w:pPr>
              <w:spacing w:after="0" w:before="0"/>
              <w:jc w:val="left"/>
            </w:pPr>
            <w:r>
              <w:rPr>
                <w:rFonts w:ascii="Arial" w:hAnsi="Arial"/>
              </w:rPr>
            </w:r>
            <w:r>
              <w:rPr>
                <w:rFonts w:ascii="Arial" w:hAnsi="Arial"/>
                <w:b w:val="0"/>
                <w:sz w:val="16"/>
              </w:rPr>
              <w:t>0-30 días</w:t>
            </w:r>
          </w:p>
        </w:tc>
        <w:tc>
          <w:tcPr>
            <w:tcW w:type="dxa" w:w="5903"/>
            <w:vAlign w:val="top"/>
          </w:tcPr>
          <w:p>
            <w:pPr>
              <w:spacing w:after="0" w:before="0"/>
              <w:jc w:val="left"/>
            </w:pPr>
            <w:r>
              <w:rPr>
                <w:rFonts w:ascii="Arial" w:hAnsi="Arial"/>
              </w:rPr>
            </w:r>
            <w:r>
              <w:rPr>
                <w:rFonts w:ascii="Arial" w:hAnsi="Arial"/>
                <w:b w:val="0"/>
                <w:sz w:val="16"/>
              </w:rPr>
              <w:t>Verificar permisos críticos: Guadix Medio Ambiente y Cultura, Metrópoli P01-1.1, Alpujarra rutas/parque/patrimonio, Montes patrimonio/cuidados, Costa litoral.</w:t>
            </w:r>
          </w:p>
        </w:tc>
        <w:tc>
          <w:tcPr>
            <w:tcW w:type="dxa" w:w="2880"/>
            <w:vAlign w:val="top"/>
          </w:tcPr>
          <w:p>
            <w:pPr>
              <w:spacing w:after="0" w:before="0"/>
              <w:jc w:val="left"/>
            </w:pPr>
            <w:r>
              <w:rPr>
                <w:rFonts w:ascii="Arial" w:hAnsi="Arial"/>
              </w:rPr>
            </w:r>
            <w:r>
              <w:rPr>
                <w:rFonts w:ascii="Arial" w:hAnsi="Arial"/>
                <w:b w:val="0"/>
                <w:sz w:val="16"/>
              </w:rPr>
              <w:t>Responsables técnicos por PAI.</w:t>
            </w:r>
          </w:p>
        </w:tc>
        <w:tc>
          <w:tcPr>
            <w:tcW w:type="dxa" w:w="2880"/>
            <w:vAlign w:val="top"/>
          </w:tcPr>
          <w:p>
            <w:pPr>
              <w:spacing w:after="0" w:before="0"/>
              <w:jc w:val="left"/>
            </w:pPr>
            <w:r>
              <w:rPr>
                <w:rFonts w:ascii="Arial" w:hAnsi="Arial"/>
              </w:rPr>
            </w:r>
            <w:r>
              <w:rPr>
                <w:rFonts w:ascii="Arial" w:hAnsi="Arial"/>
                <w:b w:val="0"/>
                <w:sz w:val="16"/>
              </w:rPr>
              <w:t>Registro de permisos con fecha, órgano y estado.</w:t>
            </w:r>
          </w:p>
        </w:tc>
      </w:tr>
      <w:tr>
        <w:trPr>
          <w:cantSplit/>
        </w:trPr>
        <w:tc>
          <w:tcPr>
            <w:tcW w:type="dxa" w:w="1440"/>
            <w:vAlign w:val="top"/>
          </w:tcPr>
          <w:p>
            <w:pPr>
              <w:spacing w:after="0" w:before="0"/>
              <w:jc w:val="left"/>
            </w:pPr>
            <w:r>
              <w:rPr>
                <w:rFonts w:ascii="Arial" w:hAnsi="Arial"/>
              </w:rPr>
            </w:r>
            <w:r>
              <w:rPr>
                <w:rFonts w:ascii="Arial" w:hAnsi="Arial"/>
                <w:b w:val="0"/>
                <w:sz w:val="16"/>
              </w:rPr>
              <w:t>30-60 días</w:t>
            </w:r>
          </w:p>
        </w:tc>
        <w:tc>
          <w:tcPr>
            <w:tcW w:type="dxa" w:w="5903"/>
            <w:vAlign w:val="top"/>
          </w:tcPr>
          <w:p>
            <w:pPr>
              <w:spacing w:after="0" w:before="0"/>
              <w:jc w:val="left"/>
            </w:pPr>
            <w:r>
              <w:rPr>
                <w:rFonts w:ascii="Arial" w:hAnsi="Arial"/>
              </w:rPr>
            </w:r>
            <w:r>
              <w:rPr>
                <w:rFonts w:ascii="Arial" w:hAnsi="Arial"/>
                <w:b w:val="0"/>
                <w:sz w:val="16"/>
              </w:rPr>
              <w:t>Preparar pliegos marco para actuaciones tecnológicas: Smart City, wifi, sensores, plataformas, hologramas, museografía digital.</w:t>
            </w:r>
          </w:p>
        </w:tc>
        <w:tc>
          <w:tcPr>
            <w:tcW w:type="dxa" w:w="2880"/>
            <w:vAlign w:val="top"/>
          </w:tcPr>
          <w:p>
            <w:pPr>
              <w:spacing w:after="0" w:before="0"/>
              <w:jc w:val="left"/>
            </w:pPr>
            <w:r>
              <w:rPr>
                <w:rFonts w:ascii="Arial" w:hAnsi="Arial"/>
              </w:rPr>
            </w:r>
            <w:r>
              <w:rPr>
                <w:rFonts w:ascii="Arial" w:hAnsi="Arial"/>
                <w:b w:val="0"/>
                <w:sz w:val="16"/>
              </w:rPr>
              <w:t>Equipo técnico digital y contratación.</w:t>
            </w:r>
          </w:p>
        </w:tc>
        <w:tc>
          <w:tcPr>
            <w:tcW w:type="dxa" w:w="2880"/>
            <w:vAlign w:val="top"/>
          </w:tcPr>
          <w:p>
            <w:pPr>
              <w:spacing w:after="0" w:before="0"/>
              <w:jc w:val="left"/>
            </w:pPr>
            <w:r>
              <w:rPr>
                <w:rFonts w:ascii="Arial" w:hAnsi="Arial"/>
              </w:rPr>
            </w:r>
            <w:r>
              <w:rPr>
                <w:rFonts w:ascii="Arial" w:hAnsi="Arial"/>
                <w:b w:val="0"/>
                <w:sz w:val="16"/>
              </w:rPr>
              <w:t>PPT robustos y reutilizables.</w:t>
            </w:r>
          </w:p>
        </w:tc>
      </w:tr>
      <w:tr>
        <w:trPr>
          <w:cantSplit/>
        </w:trPr>
        <w:tc>
          <w:tcPr>
            <w:tcW w:type="dxa" w:w="1440"/>
            <w:vAlign w:val="top"/>
          </w:tcPr>
          <w:p>
            <w:pPr>
              <w:spacing w:after="0" w:before="0"/>
              <w:jc w:val="left"/>
            </w:pPr>
            <w:r>
              <w:rPr>
                <w:rFonts w:ascii="Arial" w:hAnsi="Arial"/>
              </w:rPr>
            </w:r>
            <w:r>
              <w:rPr>
                <w:rFonts w:ascii="Arial" w:hAnsi="Arial"/>
                <w:b w:val="0"/>
                <w:sz w:val="16"/>
              </w:rPr>
              <w:t>30-60 días</w:t>
            </w:r>
          </w:p>
        </w:tc>
        <w:tc>
          <w:tcPr>
            <w:tcW w:type="dxa" w:w="5903"/>
            <w:vAlign w:val="top"/>
          </w:tcPr>
          <w:p>
            <w:pPr>
              <w:spacing w:after="0" w:before="0"/>
              <w:jc w:val="left"/>
            </w:pPr>
            <w:r>
              <w:rPr>
                <w:rFonts w:ascii="Arial" w:hAnsi="Arial"/>
              </w:rPr>
            </w:r>
            <w:r>
              <w:rPr>
                <w:rFonts w:ascii="Arial" w:hAnsi="Arial"/>
                <w:b w:val="0"/>
                <w:sz w:val="16"/>
              </w:rPr>
              <w:t>Normalizar fichas FEDER por operación, incluyendo indicadores RCO, RCR, ESR, presupuesto, elegibilidad y comunicación.</w:t>
            </w:r>
          </w:p>
        </w:tc>
        <w:tc>
          <w:tcPr>
            <w:tcW w:type="dxa" w:w="2880"/>
            <w:vAlign w:val="top"/>
          </w:tcPr>
          <w:p>
            <w:pPr>
              <w:spacing w:after="0" w:before="0"/>
              <w:jc w:val="left"/>
            </w:pPr>
            <w:r>
              <w:rPr>
                <w:rFonts w:ascii="Arial" w:hAnsi="Arial"/>
              </w:rPr>
            </w:r>
            <w:r>
              <w:rPr>
                <w:rFonts w:ascii="Arial" w:hAnsi="Arial"/>
                <w:b w:val="0"/>
                <w:sz w:val="16"/>
              </w:rPr>
              <w:t>Unidad de Gestión y Vanguardia.Tech.</w:t>
            </w:r>
          </w:p>
        </w:tc>
        <w:tc>
          <w:tcPr>
            <w:tcW w:type="dxa" w:w="2880"/>
            <w:vAlign w:val="top"/>
          </w:tcPr>
          <w:p>
            <w:pPr>
              <w:spacing w:after="0" w:before="0"/>
              <w:jc w:val="left"/>
            </w:pPr>
            <w:r>
              <w:rPr>
                <w:rFonts w:ascii="Arial" w:hAnsi="Arial"/>
              </w:rPr>
            </w:r>
            <w:r>
              <w:rPr>
                <w:rFonts w:ascii="Arial" w:hAnsi="Arial"/>
                <w:b w:val="0"/>
                <w:sz w:val="16"/>
              </w:rPr>
              <w:t>Fichero maestro de operaciones.</w:t>
            </w:r>
          </w:p>
        </w:tc>
      </w:tr>
      <w:tr>
        <w:trPr>
          <w:cantSplit/>
        </w:trPr>
        <w:tc>
          <w:tcPr>
            <w:tcW w:type="dxa" w:w="1440"/>
            <w:vAlign w:val="top"/>
          </w:tcPr>
          <w:p>
            <w:pPr>
              <w:spacing w:after="0" w:before="0"/>
              <w:jc w:val="left"/>
            </w:pPr>
            <w:r>
              <w:rPr>
                <w:rFonts w:ascii="Arial" w:hAnsi="Arial"/>
              </w:rPr>
            </w:r>
            <w:r>
              <w:rPr>
                <w:rFonts w:ascii="Arial" w:hAnsi="Arial"/>
                <w:b w:val="0"/>
                <w:sz w:val="16"/>
              </w:rPr>
              <w:t>60-90 días</w:t>
            </w:r>
          </w:p>
        </w:tc>
        <w:tc>
          <w:tcPr>
            <w:tcW w:type="dxa" w:w="5903"/>
            <w:vAlign w:val="top"/>
          </w:tcPr>
          <w:p>
            <w:pPr>
              <w:spacing w:after="0" w:before="0"/>
              <w:jc w:val="left"/>
            </w:pPr>
            <w:r>
              <w:rPr>
                <w:rFonts w:ascii="Arial" w:hAnsi="Arial"/>
              </w:rPr>
            </w:r>
            <w:r>
              <w:rPr>
                <w:rFonts w:ascii="Arial" w:hAnsi="Arial"/>
                <w:b w:val="0"/>
                <w:sz w:val="16"/>
              </w:rPr>
              <w:t>Aprobar calendario de comunicación FEDER, responsable, operación destacada, INFOCO, evidencias y dossier anual.</w:t>
            </w:r>
          </w:p>
        </w:tc>
        <w:tc>
          <w:tcPr>
            <w:tcW w:type="dxa" w:w="2880"/>
            <w:vAlign w:val="top"/>
          </w:tcPr>
          <w:p>
            <w:pPr>
              <w:spacing w:after="0" w:before="0"/>
              <w:jc w:val="left"/>
            </w:pPr>
            <w:r>
              <w:rPr>
                <w:rFonts w:ascii="Arial" w:hAnsi="Arial"/>
              </w:rPr>
            </w:r>
            <w:r>
              <w:rPr>
                <w:rFonts w:ascii="Arial" w:hAnsi="Arial"/>
                <w:b w:val="0"/>
                <w:sz w:val="16"/>
              </w:rPr>
              <w:t>Responsable de comunicación FEDER.</w:t>
            </w:r>
          </w:p>
        </w:tc>
        <w:tc>
          <w:tcPr>
            <w:tcW w:type="dxa" w:w="2880"/>
            <w:vAlign w:val="top"/>
          </w:tcPr>
          <w:p>
            <w:pPr>
              <w:spacing w:after="0" w:before="0"/>
              <w:jc w:val="left"/>
            </w:pPr>
            <w:r>
              <w:rPr>
                <w:rFonts w:ascii="Arial" w:hAnsi="Arial"/>
              </w:rPr>
            </w:r>
            <w:r>
              <w:rPr>
                <w:rFonts w:ascii="Arial" w:hAnsi="Arial"/>
                <w:b w:val="0"/>
                <w:sz w:val="16"/>
              </w:rPr>
              <w:t>Plan de visibilidad auditable.</w:t>
            </w:r>
          </w:p>
        </w:tc>
      </w:tr>
      <w:tr>
        <w:trPr>
          <w:cantSplit/>
        </w:trPr>
        <w:tc>
          <w:tcPr>
            <w:tcW w:type="dxa" w:w="1440"/>
            <w:vAlign w:val="top"/>
          </w:tcPr>
          <w:p>
            <w:pPr>
              <w:spacing w:after="0" w:before="0"/>
              <w:jc w:val="left"/>
            </w:pPr>
            <w:r>
              <w:rPr>
                <w:rFonts w:ascii="Arial" w:hAnsi="Arial"/>
              </w:rPr>
            </w:r>
            <w:r>
              <w:rPr>
                <w:rFonts w:ascii="Arial" w:hAnsi="Arial"/>
                <w:b w:val="0"/>
                <w:sz w:val="16"/>
              </w:rPr>
              <w:t>60-90 días</w:t>
            </w:r>
          </w:p>
        </w:tc>
        <w:tc>
          <w:tcPr>
            <w:tcW w:type="dxa" w:w="5903"/>
            <w:vAlign w:val="top"/>
          </w:tcPr>
          <w:p>
            <w:pPr>
              <w:spacing w:after="0" w:before="0"/>
              <w:jc w:val="left"/>
            </w:pPr>
            <w:r>
              <w:rPr>
                <w:rFonts w:ascii="Arial" w:hAnsi="Arial"/>
              </w:rPr>
            </w:r>
            <w:r>
              <w:rPr>
                <w:rFonts w:ascii="Arial" w:hAnsi="Arial"/>
                <w:b w:val="0"/>
                <w:sz w:val="16"/>
              </w:rPr>
              <w:t>Implementar repositorio documental con índice por PAI, municipio, actuación, contrato, factura, pago, certificación y comunicación.</w:t>
            </w:r>
          </w:p>
        </w:tc>
        <w:tc>
          <w:tcPr>
            <w:tcW w:type="dxa" w:w="2880"/>
            <w:vAlign w:val="top"/>
          </w:tcPr>
          <w:p>
            <w:pPr>
              <w:spacing w:after="0" w:before="0"/>
              <w:jc w:val="left"/>
            </w:pPr>
            <w:r>
              <w:rPr>
                <w:rFonts w:ascii="Arial" w:hAnsi="Arial"/>
              </w:rPr>
            </w:r>
            <w:r>
              <w:rPr>
                <w:rFonts w:ascii="Arial" w:hAnsi="Arial"/>
                <w:b w:val="0"/>
                <w:sz w:val="16"/>
              </w:rPr>
              <w:t>Oficina Técnica PAI.</w:t>
            </w:r>
          </w:p>
        </w:tc>
        <w:tc>
          <w:tcPr>
            <w:tcW w:type="dxa" w:w="2880"/>
            <w:vAlign w:val="top"/>
          </w:tcPr>
          <w:p>
            <w:pPr>
              <w:spacing w:after="0" w:before="0"/>
              <w:jc w:val="left"/>
            </w:pPr>
            <w:r>
              <w:rPr>
                <w:rFonts w:ascii="Arial" w:hAnsi="Arial"/>
              </w:rPr>
            </w:r>
            <w:r>
              <w:rPr>
                <w:rFonts w:ascii="Arial" w:hAnsi="Arial"/>
                <w:b w:val="0"/>
                <w:sz w:val="16"/>
              </w:rPr>
              <w:t>Pista de auditoría estructurada.</w:t>
            </w:r>
          </w:p>
        </w:tc>
      </w:tr>
    </w:tbl>
    <w:p/>
    <w:p>
      <w:pPr>
        <w:pStyle w:val="Heading1"/>
      </w:pPr>
      <w:r>
        <w:t>13. Conclusión para incorporar a la oferta</w:t>
      </w:r>
    </w:p>
    <w:p>
      <w:r>
        <w:t>La documentación de los 6 PAI demuestra una preparación estratégica extensa y una clara orientación a los criterios de valoración de la convocatoria. Sin embargo, el momento actual exige pasar de la memoria al expediente de ejecución, con control mensual de selección, contratación, certificación, pagos, comunicación y pista de auditoría.</w:t>
      </w:r>
    </w:p>
    <w:p>
      <w:r>
        <w:t>La propuesta de Vanguardia.Tech debe centrarse en una función concreta y verificable: ayudar a Diputación a mantener bajo control documental, técnico y operativo los 6 PAI, anticipando incidencias y evitando que los retrasos en permisos, pliegos, contratación, tecnología, comunicación o justificación pongan en riesgo los hitos FEDER.</w:t>
      </w:r>
    </w:p>
    <w:p>
      <w:r>
        <w:t>El mensaje principal para Antonio Díaz debe ser claro: Vanguardia.Tech no plantea sustituir a la Unidad de Gestión ni a los servicios técnicos de Diputación, sino reforzar su capacidad de seguimiento, ordenar la información crítica, preparar matrices de control y aportar especialización en las actuaciones tecnológicas, culturales, turísticas y de transformación digital que aparecen de forma recurrente en los PAI.</w:t>
      </w:r>
    </w:p>
    <w:p>
      <w:pPr>
        <w:pStyle w:val="Heading1"/>
      </w:pPr>
      <w:r>
        <w:t>14. Anexo. Lista de comprobación documental por operación</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2015"/>
            <w:shd w:fill="1F4E79"/>
            <w:vAlign w:val="center"/>
          </w:tcPr>
          <w:p>
            <w:pPr>
              <w:spacing w:after="0" w:before="0"/>
              <w:jc w:val="left"/>
            </w:pPr>
            <w:r>
              <w:rPr>
                <w:rFonts w:ascii="Arial" w:hAnsi="Arial"/>
              </w:rPr>
            </w:r>
            <w:r>
              <w:rPr>
                <w:rFonts w:ascii="Arial" w:hAnsi="Arial"/>
                <w:b/>
                <w:color w:val="FFFFFF"/>
                <w:sz w:val="16"/>
              </w:rPr>
              <w:t>Bloque</w:t>
            </w:r>
          </w:p>
        </w:tc>
        <w:tc>
          <w:tcPr>
            <w:tcW w:type="dxa" w:w="7343"/>
            <w:shd w:fill="1F4E79"/>
            <w:vAlign w:val="center"/>
          </w:tcPr>
          <w:p>
            <w:pPr>
              <w:spacing w:after="0" w:before="0"/>
              <w:jc w:val="left"/>
            </w:pPr>
            <w:r>
              <w:rPr>
                <w:rFonts w:ascii="Arial" w:hAnsi="Arial"/>
              </w:rPr>
            </w:r>
            <w:r>
              <w:rPr>
                <w:rFonts w:ascii="Arial" w:hAnsi="Arial"/>
                <w:b/>
                <w:color w:val="FFFFFF"/>
                <w:sz w:val="16"/>
              </w:rPr>
              <w:t>Documento o evidencia mínima</w:t>
            </w:r>
          </w:p>
        </w:tc>
        <w:tc>
          <w:tcPr>
            <w:tcW w:type="dxa" w:w="3311"/>
            <w:shd w:fill="1F4E79"/>
            <w:vAlign w:val="center"/>
          </w:tcPr>
          <w:p>
            <w:pPr>
              <w:spacing w:after="0" w:before="0"/>
              <w:jc w:val="left"/>
            </w:pPr>
            <w:r>
              <w:rPr>
                <w:rFonts w:ascii="Arial" w:hAnsi="Arial"/>
              </w:rPr>
            </w:r>
            <w:r>
              <w:rPr>
                <w:rFonts w:ascii="Arial" w:hAnsi="Arial"/>
                <w:b/>
                <w:color w:val="FFFFFF"/>
                <w:sz w:val="16"/>
              </w:rPr>
              <w:t>Observación</w:t>
            </w:r>
          </w:p>
        </w:tc>
      </w:tr>
      <w:tr>
        <w:trPr>
          <w:cantSplit/>
        </w:trPr>
        <w:tc>
          <w:tcPr>
            <w:tcW w:type="dxa" w:w="2015"/>
            <w:vAlign w:val="top"/>
          </w:tcPr>
          <w:p>
            <w:pPr>
              <w:spacing w:after="0" w:before="0"/>
              <w:jc w:val="left"/>
            </w:pPr>
            <w:r>
              <w:rPr>
                <w:rFonts w:ascii="Arial" w:hAnsi="Arial"/>
              </w:rPr>
            </w:r>
            <w:r>
              <w:rPr>
                <w:rFonts w:ascii="Arial" w:hAnsi="Arial"/>
                <w:b w:val="0"/>
                <w:sz w:val="16"/>
              </w:rPr>
              <w:t>Identificación</w:t>
            </w:r>
          </w:p>
        </w:tc>
        <w:tc>
          <w:tcPr>
            <w:tcW w:type="dxa" w:w="7343"/>
            <w:vAlign w:val="top"/>
          </w:tcPr>
          <w:p>
            <w:pPr>
              <w:spacing w:after="0" w:before="0"/>
              <w:jc w:val="left"/>
            </w:pPr>
            <w:r>
              <w:rPr>
                <w:rFonts w:ascii="Arial" w:hAnsi="Arial"/>
              </w:rPr>
            </w:r>
            <w:r>
              <w:rPr>
                <w:rFonts w:ascii="Arial" w:hAnsi="Arial"/>
                <w:b w:val="0"/>
                <w:sz w:val="16"/>
              </w:rPr>
              <w:t>Ficha de operación, código, PAI, municipio, denominación, responsable.</w:t>
            </w:r>
          </w:p>
        </w:tc>
        <w:tc>
          <w:tcPr>
            <w:tcW w:type="dxa" w:w="3311"/>
            <w:vAlign w:val="top"/>
          </w:tcPr>
          <w:p>
            <w:pPr>
              <w:spacing w:after="0" w:before="0"/>
              <w:jc w:val="left"/>
            </w:pPr>
            <w:r>
              <w:rPr>
                <w:rFonts w:ascii="Arial" w:hAnsi="Arial"/>
              </w:rPr>
            </w:r>
            <w:r>
              <w:rPr>
                <w:rFonts w:ascii="Arial" w:hAnsi="Arial"/>
                <w:b w:val="0"/>
                <w:sz w:val="16"/>
              </w:rPr>
              <w:t>Obligatoria para trazabilidad.</w:t>
            </w:r>
          </w:p>
        </w:tc>
      </w:tr>
      <w:tr>
        <w:trPr>
          <w:cantSplit/>
        </w:trPr>
        <w:tc>
          <w:tcPr>
            <w:tcW w:type="dxa" w:w="2015"/>
            <w:vAlign w:val="top"/>
          </w:tcPr>
          <w:p>
            <w:pPr>
              <w:spacing w:after="0" w:before="0"/>
              <w:jc w:val="left"/>
            </w:pPr>
            <w:r>
              <w:rPr>
                <w:rFonts w:ascii="Arial" w:hAnsi="Arial"/>
              </w:rPr>
            </w:r>
            <w:r>
              <w:rPr>
                <w:rFonts w:ascii="Arial" w:hAnsi="Arial"/>
                <w:b w:val="0"/>
                <w:sz w:val="16"/>
              </w:rPr>
              <w:t>Estrategia</w:t>
            </w:r>
          </w:p>
        </w:tc>
        <w:tc>
          <w:tcPr>
            <w:tcW w:type="dxa" w:w="7343"/>
            <w:vAlign w:val="top"/>
          </w:tcPr>
          <w:p>
            <w:pPr>
              <w:spacing w:after="0" w:before="0"/>
              <w:jc w:val="left"/>
            </w:pPr>
            <w:r>
              <w:rPr>
                <w:rFonts w:ascii="Arial" w:hAnsi="Arial"/>
              </w:rPr>
            </w:r>
            <w:r>
              <w:rPr>
                <w:rFonts w:ascii="Arial" w:hAnsi="Arial"/>
                <w:b w:val="0"/>
                <w:sz w:val="16"/>
              </w:rPr>
              <w:t>Encaje EDIL, AUE, tipo de acción, ámbito de intervención, indicador RCO/RCR/ESR.</w:t>
            </w:r>
          </w:p>
        </w:tc>
        <w:tc>
          <w:tcPr>
            <w:tcW w:type="dxa" w:w="3311"/>
            <w:vAlign w:val="top"/>
          </w:tcPr>
          <w:p>
            <w:pPr>
              <w:spacing w:after="0" w:before="0"/>
              <w:jc w:val="left"/>
            </w:pPr>
            <w:r>
              <w:rPr>
                <w:rFonts w:ascii="Arial" w:hAnsi="Arial"/>
              </w:rPr>
            </w:r>
            <w:r>
              <w:rPr>
                <w:rFonts w:ascii="Arial" w:hAnsi="Arial"/>
                <w:b w:val="0"/>
                <w:sz w:val="16"/>
              </w:rPr>
              <w:t>Debe coincidir con memoria y resolución.</w:t>
            </w:r>
          </w:p>
        </w:tc>
      </w:tr>
      <w:tr>
        <w:trPr>
          <w:cantSplit/>
        </w:trPr>
        <w:tc>
          <w:tcPr>
            <w:tcW w:type="dxa" w:w="2015"/>
            <w:vAlign w:val="top"/>
          </w:tcPr>
          <w:p>
            <w:pPr>
              <w:spacing w:after="0" w:before="0"/>
              <w:jc w:val="left"/>
            </w:pPr>
            <w:r>
              <w:rPr>
                <w:rFonts w:ascii="Arial" w:hAnsi="Arial"/>
              </w:rPr>
            </w:r>
            <w:r>
              <w:rPr>
                <w:rFonts w:ascii="Arial" w:hAnsi="Arial"/>
                <w:b w:val="0"/>
                <w:sz w:val="16"/>
              </w:rPr>
              <w:t>Presupuesto</w:t>
            </w:r>
          </w:p>
        </w:tc>
        <w:tc>
          <w:tcPr>
            <w:tcW w:type="dxa" w:w="7343"/>
            <w:vAlign w:val="top"/>
          </w:tcPr>
          <w:p>
            <w:pPr>
              <w:spacing w:after="0" w:before="0"/>
              <w:jc w:val="left"/>
            </w:pPr>
            <w:r>
              <w:rPr>
                <w:rFonts w:ascii="Arial" w:hAnsi="Arial"/>
              </w:rPr>
            </w:r>
            <w:r>
              <w:rPr>
                <w:rFonts w:ascii="Arial" w:hAnsi="Arial"/>
                <w:b w:val="0"/>
                <w:sz w:val="16"/>
              </w:rPr>
              <w:t>Presupuesto total, FEDER, aportación, anualidades y senda.</w:t>
            </w:r>
          </w:p>
        </w:tc>
        <w:tc>
          <w:tcPr>
            <w:tcW w:type="dxa" w:w="3311"/>
            <w:vAlign w:val="top"/>
          </w:tcPr>
          <w:p>
            <w:pPr>
              <w:spacing w:after="0" w:before="0"/>
              <w:jc w:val="left"/>
            </w:pPr>
            <w:r>
              <w:rPr>
                <w:rFonts w:ascii="Arial" w:hAnsi="Arial"/>
              </w:rPr>
            </w:r>
            <w:r>
              <w:rPr>
                <w:rFonts w:ascii="Arial" w:hAnsi="Arial"/>
                <w:b w:val="0"/>
                <w:sz w:val="16"/>
              </w:rPr>
              <w:t>Conciliar con contabilidad.</w:t>
            </w:r>
          </w:p>
        </w:tc>
      </w:tr>
      <w:tr>
        <w:trPr>
          <w:cantSplit/>
        </w:trPr>
        <w:tc>
          <w:tcPr>
            <w:tcW w:type="dxa" w:w="2015"/>
            <w:vAlign w:val="top"/>
          </w:tcPr>
          <w:p>
            <w:pPr>
              <w:spacing w:after="0" w:before="0"/>
              <w:jc w:val="left"/>
            </w:pPr>
            <w:r>
              <w:rPr>
                <w:rFonts w:ascii="Arial" w:hAnsi="Arial"/>
              </w:rPr>
            </w:r>
            <w:r>
              <w:rPr>
                <w:rFonts w:ascii="Arial" w:hAnsi="Arial"/>
                <w:b w:val="0"/>
                <w:sz w:val="16"/>
              </w:rPr>
              <w:t>Titularidad</w:t>
            </w:r>
          </w:p>
        </w:tc>
        <w:tc>
          <w:tcPr>
            <w:tcW w:type="dxa" w:w="7343"/>
            <w:vAlign w:val="top"/>
          </w:tcPr>
          <w:p>
            <w:pPr>
              <w:spacing w:after="0" w:before="0"/>
              <w:jc w:val="left"/>
            </w:pPr>
            <w:r>
              <w:rPr>
                <w:rFonts w:ascii="Arial" w:hAnsi="Arial"/>
              </w:rPr>
            </w:r>
            <w:r>
              <w:rPr>
                <w:rFonts w:ascii="Arial" w:hAnsi="Arial"/>
                <w:b w:val="0"/>
                <w:sz w:val="16"/>
              </w:rPr>
              <w:t>Certificado de titularidad o disponibilidad de suelo/inmueble.</w:t>
            </w:r>
          </w:p>
        </w:tc>
        <w:tc>
          <w:tcPr>
            <w:tcW w:type="dxa" w:w="3311"/>
            <w:vAlign w:val="top"/>
          </w:tcPr>
          <w:p>
            <w:pPr>
              <w:spacing w:after="0" w:before="0"/>
              <w:jc w:val="left"/>
            </w:pPr>
            <w:r>
              <w:rPr>
                <w:rFonts w:ascii="Arial" w:hAnsi="Arial"/>
              </w:rPr>
            </w:r>
            <w:r>
              <w:rPr>
                <w:rFonts w:ascii="Arial" w:hAnsi="Arial"/>
                <w:b w:val="0"/>
                <w:sz w:val="16"/>
              </w:rPr>
              <w:t>Especialmente obra, vivienda, cuidados y patrimonio.</w:t>
            </w:r>
          </w:p>
        </w:tc>
      </w:tr>
      <w:tr>
        <w:trPr>
          <w:cantSplit/>
        </w:trPr>
        <w:tc>
          <w:tcPr>
            <w:tcW w:type="dxa" w:w="2015"/>
            <w:vAlign w:val="top"/>
          </w:tcPr>
          <w:p>
            <w:pPr>
              <w:spacing w:after="0" w:before="0"/>
              <w:jc w:val="left"/>
            </w:pPr>
            <w:r>
              <w:rPr>
                <w:rFonts w:ascii="Arial" w:hAnsi="Arial"/>
              </w:rPr>
            </w:r>
            <w:r>
              <w:rPr>
                <w:rFonts w:ascii="Arial" w:hAnsi="Arial"/>
                <w:b w:val="0"/>
                <w:sz w:val="16"/>
              </w:rPr>
              <w:t>Permisos</w:t>
            </w:r>
          </w:p>
        </w:tc>
        <w:tc>
          <w:tcPr>
            <w:tcW w:type="dxa" w:w="7343"/>
            <w:vAlign w:val="top"/>
          </w:tcPr>
          <w:p>
            <w:pPr>
              <w:spacing w:after="0" w:before="0"/>
              <w:jc w:val="left"/>
            </w:pPr>
            <w:r>
              <w:rPr>
                <w:rFonts w:ascii="Arial" w:hAnsi="Arial"/>
              </w:rPr>
            </w:r>
            <w:r>
              <w:rPr>
                <w:rFonts w:ascii="Arial" w:hAnsi="Arial"/>
                <w:b w:val="0"/>
                <w:sz w:val="16"/>
              </w:rPr>
              <w:t>Informes de Cultura, Medio Ambiente, Fomento, Costas, CHG, ayuntamientos u otros.</w:t>
            </w:r>
          </w:p>
        </w:tc>
        <w:tc>
          <w:tcPr>
            <w:tcW w:type="dxa" w:w="3311"/>
            <w:vAlign w:val="top"/>
          </w:tcPr>
          <w:p>
            <w:pPr>
              <w:spacing w:after="0" w:before="0"/>
              <w:jc w:val="left"/>
            </w:pPr>
            <w:r>
              <w:rPr>
                <w:rFonts w:ascii="Arial" w:hAnsi="Arial"/>
              </w:rPr>
            </w:r>
            <w:r>
              <w:rPr>
                <w:rFonts w:ascii="Arial" w:hAnsi="Arial"/>
                <w:b w:val="0"/>
                <w:sz w:val="16"/>
              </w:rPr>
              <w:t>Registrar solicitud, plazo y resolución.</w:t>
            </w:r>
          </w:p>
        </w:tc>
      </w:tr>
      <w:tr>
        <w:trPr>
          <w:cantSplit/>
        </w:trPr>
        <w:tc>
          <w:tcPr>
            <w:tcW w:type="dxa" w:w="2015"/>
            <w:vAlign w:val="top"/>
          </w:tcPr>
          <w:p>
            <w:pPr>
              <w:spacing w:after="0" w:before="0"/>
              <w:jc w:val="left"/>
            </w:pPr>
            <w:r>
              <w:rPr>
                <w:rFonts w:ascii="Arial" w:hAnsi="Arial"/>
              </w:rPr>
            </w:r>
            <w:r>
              <w:rPr>
                <w:rFonts w:ascii="Arial" w:hAnsi="Arial"/>
                <w:b w:val="0"/>
                <w:sz w:val="16"/>
              </w:rPr>
              <w:t>Proyecto técnico</w:t>
            </w:r>
          </w:p>
        </w:tc>
        <w:tc>
          <w:tcPr>
            <w:tcW w:type="dxa" w:w="7343"/>
            <w:vAlign w:val="top"/>
          </w:tcPr>
          <w:p>
            <w:pPr>
              <w:spacing w:after="0" w:before="0"/>
              <w:jc w:val="left"/>
            </w:pPr>
            <w:r>
              <w:rPr>
                <w:rFonts w:ascii="Arial" w:hAnsi="Arial"/>
              </w:rPr>
            </w:r>
            <w:r>
              <w:rPr>
                <w:rFonts w:ascii="Arial" w:hAnsi="Arial"/>
                <w:b w:val="0"/>
                <w:sz w:val="16"/>
              </w:rPr>
              <w:t>Memoria, proyecto básico, ejecución, separatas, mediciones y presupuesto.</w:t>
            </w:r>
          </w:p>
        </w:tc>
        <w:tc>
          <w:tcPr>
            <w:tcW w:type="dxa" w:w="3311"/>
            <w:vAlign w:val="top"/>
          </w:tcPr>
          <w:p>
            <w:pPr>
              <w:spacing w:after="0" w:before="0"/>
              <w:jc w:val="left"/>
            </w:pPr>
            <w:r>
              <w:rPr>
                <w:rFonts w:ascii="Arial" w:hAnsi="Arial"/>
              </w:rPr>
            </w:r>
            <w:r>
              <w:rPr>
                <w:rFonts w:ascii="Arial" w:hAnsi="Arial"/>
                <w:b w:val="0"/>
                <w:sz w:val="16"/>
              </w:rPr>
              <w:t>Control de versiones.</w:t>
            </w:r>
          </w:p>
        </w:tc>
      </w:tr>
      <w:tr>
        <w:trPr>
          <w:cantSplit/>
        </w:trPr>
        <w:tc>
          <w:tcPr>
            <w:tcW w:type="dxa" w:w="2015"/>
            <w:vAlign w:val="top"/>
          </w:tcPr>
          <w:p>
            <w:pPr>
              <w:spacing w:after="0" w:before="0"/>
              <w:jc w:val="left"/>
            </w:pPr>
            <w:r>
              <w:rPr>
                <w:rFonts w:ascii="Arial" w:hAnsi="Arial"/>
              </w:rPr>
            </w:r>
            <w:r>
              <w:rPr>
                <w:rFonts w:ascii="Arial" w:hAnsi="Arial"/>
                <w:b w:val="0"/>
                <w:sz w:val="16"/>
              </w:rPr>
              <w:t>Contratación</w:t>
            </w:r>
          </w:p>
        </w:tc>
        <w:tc>
          <w:tcPr>
            <w:tcW w:type="dxa" w:w="7343"/>
            <w:vAlign w:val="top"/>
          </w:tcPr>
          <w:p>
            <w:pPr>
              <w:spacing w:after="0" w:before="0"/>
              <w:jc w:val="left"/>
            </w:pPr>
            <w:r>
              <w:rPr>
                <w:rFonts w:ascii="Arial" w:hAnsi="Arial"/>
              </w:rPr>
            </w:r>
            <w:r>
              <w:rPr>
                <w:rFonts w:ascii="Arial" w:hAnsi="Arial"/>
                <w:b w:val="0"/>
                <w:sz w:val="16"/>
              </w:rPr>
              <w:t>PPT, PCAP, informe necesidad, solvencia, criterios, publicación PCSP, adjudicación y formalización.</w:t>
            </w:r>
          </w:p>
        </w:tc>
        <w:tc>
          <w:tcPr>
            <w:tcW w:type="dxa" w:w="3311"/>
            <w:vAlign w:val="top"/>
          </w:tcPr>
          <w:p>
            <w:pPr>
              <w:spacing w:after="0" w:before="0"/>
              <w:jc w:val="left"/>
            </w:pPr>
            <w:r>
              <w:rPr>
                <w:rFonts w:ascii="Arial" w:hAnsi="Arial"/>
              </w:rPr>
            </w:r>
            <w:r>
              <w:rPr>
                <w:rFonts w:ascii="Arial" w:hAnsi="Arial"/>
                <w:b w:val="0"/>
                <w:sz w:val="16"/>
              </w:rPr>
              <w:t>Cuidado con tecnología y propiedad intelectual.</w:t>
            </w:r>
          </w:p>
        </w:tc>
      </w:tr>
      <w:tr>
        <w:trPr>
          <w:cantSplit/>
        </w:trPr>
        <w:tc>
          <w:tcPr>
            <w:tcW w:type="dxa" w:w="2015"/>
            <w:vAlign w:val="top"/>
          </w:tcPr>
          <w:p>
            <w:pPr>
              <w:spacing w:after="0" w:before="0"/>
              <w:jc w:val="left"/>
            </w:pPr>
            <w:r>
              <w:rPr>
                <w:rFonts w:ascii="Arial" w:hAnsi="Arial"/>
              </w:rPr>
            </w:r>
            <w:r>
              <w:rPr>
                <w:rFonts w:ascii="Arial" w:hAnsi="Arial"/>
                <w:b w:val="0"/>
                <w:sz w:val="16"/>
              </w:rPr>
              <w:t>Ejecución</w:t>
            </w:r>
          </w:p>
        </w:tc>
        <w:tc>
          <w:tcPr>
            <w:tcW w:type="dxa" w:w="7343"/>
            <w:vAlign w:val="top"/>
          </w:tcPr>
          <w:p>
            <w:pPr>
              <w:spacing w:after="0" w:before="0"/>
              <w:jc w:val="left"/>
            </w:pPr>
            <w:r>
              <w:rPr>
                <w:rFonts w:ascii="Arial" w:hAnsi="Arial"/>
              </w:rPr>
            </w:r>
            <w:r>
              <w:rPr>
                <w:rFonts w:ascii="Arial" w:hAnsi="Arial"/>
                <w:b w:val="0"/>
                <w:sz w:val="16"/>
              </w:rPr>
              <w:t>Actas de replanteo, certificaciones, hitos, modificaciones, informes de dirección facultativa.</w:t>
            </w:r>
          </w:p>
        </w:tc>
        <w:tc>
          <w:tcPr>
            <w:tcW w:type="dxa" w:w="3311"/>
            <w:vAlign w:val="top"/>
          </w:tcPr>
          <w:p>
            <w:pPr>
              <w:spacing w:after="0" w:before="0"/>
              <w:jc w:val="left"/>
            </w:pPr>
            <w:r>
              <w:rPr>
                <w:rFonts w:ascii="Arial" w:hAnsi="Arial"/>
              </w:rPr>
            </w:r>
            <w:r>
              <w:rPr>
                <w:rFonts w:ascii="Arial" w:hAnsi="Arial"/>
                <w:b w:val="0"/>
                <w:sz w:val="16"/>
              </w:rPr>
              <w:t>Base para gasto elegible.</w:t>
            </w:r>
          </w:p>
        </w:tc>
      </w:tr>
      <w:tr>
        <w:trPr>
          <w:cantSplit/>
        </w:trPr>
        <w:tc>
          <w:tcPr>
            <w:tcW w:type="dxa" w:w="2015"/>
            <w:vAlign w:val="top"/>
          </w:tcPr>
          <w:p>
            <w:pPr>
              <w:spacing w:after="0" w:before="0"/>
              <w:jc w:val="left"/>
            </w:pPr>
            <w:r>
              <w:rPr>
                <w:rFonts w:ascii="Arial" w:hAnsi="Arial"/>
              </w:rPr>
            </w:r>
            <w:r>
              <w:rPr>
                <w:rFonts w:ascii="Arial" w:hAnsi="Arial"/>
                <w:b w:val="0"/>
                <w:sz w:val="16"/>
              </w:rPr>
              <w:t>Pagos</w:t>
            </w:r>
          </w:p>
        </w:tc>
        <w:tc>
          <w:tcPr>
            <w:tcW w:type="dxa" w:w="7343"/>
            <w:vAlign w:val="top"/>
          </w:tcPr>
          <w:p>
            <w:pPr>
              <w:spacing w:after="0" w:before="0"/>
              <w:jc w:val="left"/>
            </w:pPr>
            <w:r>
              <w:rPr>
                <w:rFonts w:ascii="Arial" w:hAnsi="Arial"/>
              </w:rPr>
            </w:r>
            <w:r>
              <w:rPr>
                <w:rFonts w:ascii="Arial" w:hAnsi="Arial"/>
                <w:b w:val="0"/>
                <w:sz w:val="16"/>
              </w:rPr>
              <w:t>Factura, conformidad, reconocimiento obligación, pago efectivo, asiento contable.</w:t>
            </w:r>
          </w:p>
        </w:tc>
        <w:tc>
          <w:tcPr>
            <w:tcW w:type="dxa" w:w="3311"/>
            <w:vAlign w:val="top"/>
          </w:tcPr>
          <w:p>
            <w:pPr>
              <w:spacing w:after="0" w:before="0"/>
              <w:jc w:val="left"/>
            </w:pPr>
            <w:r>
              <w:rPr>
                <w:rFonts w:ascii="Arial" w:hAnsi="Arial"/>
              </w:rPr>
            </w:r>
            <w:r>
              <w:rPr>
                <w:rFonts w:ascii="Arial" w:hAnsi="Arial"/>
                <w:b w:val="0"/>
                <w:sz w:val="16"/>
              </w:rPr>
              <w:t>Pista de auditoría.</w:t>
            </w:r>
          </w:p>
        </w:tc>
      </w:tr>
      <w:tr>
        <w:trPr>
          <w:cantSplit/>
        </w:trPr>
        <w:tc>
          <w:tcPr>
            <w:tcW w:type="dxa" w:w="2015"/>
            <w:vAlign w:val="top"/>
          </w:tcPr>
          <w:p>
            <w:pPr>
              <w:spacing w:after="0" w:before="0"/>
              <w:jc w:val="left"/>
            </w:pPr>
            <w:r>
              <w:rPr>
                <w:rFonts w:ascii="Arial" w:hAnsi="Arial"/>
              </w:rPr>
            </w:r>
            <w:r>
              <w:rPr>
                <w:rFonts w:ascii="Arial" w:hAnsi="Arial"/>
                <w:b w:val="0"/>
                <w:sz w:val="16"/>
              </w:rPr>
              <w:t>Comunicación</w:t>
            </w:r>
          </w:p>
        </w:tc>
        <w:tc>
          <w:tcPr>
            <w:tcW w:type="dxa" w:w="7343"/>
            <w:vAlign w:val="top"/>
          </w:tcPr>
          <w:p>
            <w:pPr>
              <w:spacing w:after="0" w:before="0"/>
              <w:jc w:val="left"/>
            </w:pPr>
            <w:r>
              <w:rPr>
                <w:rFonts w:ascii="Arial" w:hAnsi="Arial"/>
              </w:rPr>
            </w:r>
            <w:r>
              <w:rPr>
                <w:rFonts w:ascii="Arial" w:hAnsi="Arial"/>
                <w:b w:val="0"/>
                <w:sz w:val="16"/>
              </w:rPr>
              <w:t>Cartel, web, redes, notas, fotografías, operación destacada, INFOCO.</w:t>
            </w:r>
          </w:p>
        </w:tc>
        <w:tc>
          <w:tcPr>
            <w:tcW w:type="dxa" w:w="3311"/>
            <w:vAlign w:val="top"/>
          </w:tcPr>
          <w:p>
            <w:pPr>
              <w:spacing w:after="0" w:before="0"/>
              <w:jc w:val="left"/>
            </w:pPr>
            <w:r>
              <w:rPr>
                <w:rFonts w:ascii="Arial" w:hAnsi="Arial"/>
              </w:rPr>
            </w:r>
            <w:r>
              <w:rPr>
                <w:rFonts w:ascii="Arial" w:hAnsi="Arial"/>
                <w:b w:val="0"/>
                <w:sz w:val="16"/>
              </w:rPr>
              <w:t>Obligaciones UE.</w:t>
            </w:r>
          </w:p>
        </w:tc>
      </w:tr>
      <w:tr>
        <w:trPr>
          <w:cantSplit/>
        </w:trPr>
        <w:tc>
          <w:tcPr>
            <w:tcW w:type="dxa" w:w="2015"/>
            <w:vAlign w:val="top"/>
          </w:tcPr>
          <w:p>
            <w:pPr>
              <w:spacing w:after="0" w:before="0"/>
              <w:jc w:val="left"/>
            </w:pPr>
            <w:r>
              <w:rPr>
                <w:rFonts w:ascii="Arial" w:hAnsi="Arial"/>
              </w:rPr>
            </w:r>
            <w:r>
              <w:rPr>
                <w:rFonts w:ascii="Arial" w:hAnsi="Arial"/>
                <w:b w:val="0"/>
                <w:sz w:val="16"/>
              </w:rPr>
              <w:t>Cierre</w:t>
            </w:r>
          </w:p>
        </w:tc>
        <w:tc>
          <w:tcPr>
            <w:tcW w:type="dxa" w:w="7343"/>
            <w:vAlign w:val="top"/>
          </w:tcPr>
          <w:p>
            <w:pPr>
              <w:spacing w:after="0" w:before="0"/>
              <w:jc w:val="left"/>
            </w:pPr>
            <w:r>
              <w:rPr>
                <w:rFonts w:ascii="Arial" w:hAnsi="Arial"/>
              </w:rPr>
            </w:r>
            <w:r>
              <w:rPr>
                <w:rFonts w:ascii="Arial" w:hAnsi="Arial"/>
                <w:b w:val="0"/>
                <w:sz w:val="16"/>
              </w:rPr>
              <w:t>Acta recepción, puesta en servicio, indicadores, memoria final, mantenimiento y explotación.</w:t>
            </w:r>
          </w:p>
        </w:tc>
        <w:tc>
          <w:tcPr>
            <w:tcW w:type="dxa" w:w="3311"/>
            <w:vAlign w:val="top"/>
          </w:tcPr>
          <w:p>
            <w:pPr>
              <w:spacing w:after="0" w:before="0"/>
              <w:jc w:val="left"/>
            </w:pPr>
            <w:r>
              <w:rPr>
                <w:rFonts w:ascii="Arial" w:hAnsi="Arial"/>
              </w:rPr>
            </w:r>
            <w:r>
              <w:rPr>
                <w:rFonts w:ascii="Arial" w:hAnsi="Arial"/>
                <w:b w:val="0"/>
                <w:sz w:val="16"/>
              </w:rPr>
              <w:t>Preparar desde el inicio.</w:t>
            </w:r>
          </w:p>
        </w:tc>
      </w:tr>
    </w:tbl>
    <w:p/>
    <w:p>
      <w:pPr>
        <w:pStyle w:val="Heading1"/>
      </w:pPr>
      <w:r>
        <w:t>15. Fuentes utilizadas</w:t>
      </w:r>
    </w:p>
    <w:p>
      <w:pPr>
        <w:pStyle w:val="ListBullet"/>
      </w:pPr>
      <w:r>
        <w:t>Orden HAC/1072/2024, de 2 de octubre, por la que se aprueban las bases reguladoras para la asignación de senda financiera FEDER a Planes de Actuación Integrados de entidades locales, BOE-A-2024-20246.</w:t>
      </w:r>
    </w:p>
    <w:p>
      <w:pPr>
        <w:pStyle w:val="ListBullet"/>
      </w:pPr>
      <w:r>
        <w:t>Resolución definitiva de 16 de enero de 2026 de la convocatoria FEDER para Planes de Actuación Integrados, publicada en BOE el 19 de febrero de 2026.</w:t>
      </w:r>
    </w:p>
    <w:p>
      <w:pPr>
        <w:pStyle w:val="ListBullet"/>
      </w:pPr>
      <w:r>
        <w:t>Reglamento UE 2021/1060, disposiciones comunes aplicables a fondos europeos.</w:t>
      </w:r>
    </w:p>
    <w:p>
      <w:pPr>
        <w:pStyle w:val="ListBullet"/>
      </w:pPr>
      <w:r>
        <w:t>ANEXO-3_PAI-GENIL-CONECTANDO-EL-PONIENTE-sin-logo-consultora.pdf.</w:t>
      </w:r>
    </w:p>
    <w:p>
      <w:pPr>
        <w:pStyle w:val="ListBullet"/>
      </w:pPr>
      <w:r>
        <w:t>Memoria-PAI-Costa.pdf.</w:t>
      </w:r>
    </w:p>
    <w:p>
      <w:pPr>
        <w:pStyle w:val="ListBullet"/>
      </w:pPr>
      <w:r>
        <w:t>Memoria-PAI-GR-MSO-presentada.pdf.</w:t>
      </w:r>
    </w:p>
    <w:p>
      <w:pPr>
        <w:pStyle w:val="ListBullet"/>
      </w:pPr>
      <w:r>
        <w:t>Memoria-PAI-Guadix-DEF.pdf.</w:t>
      </w:r>
    </w:p>
    <w:p>
      <w:pPr>
        <w:pStyle w:val="ListBullet"/>
      </w:pPr>
      <w:r>
        <w:t>20250224_PAI-Alpujarra_FINAL_DIPGRA.pdf.</w:t>
      </w:r>
    </w:p>
    <w:p>
      <w:pPr>
        <w:pStyle w:val="ListBullet"/>
      </w:pPr>
      <w:r>
        <w:t>MEMORIA-PAI-MONTES-OCCID.-SIN-LOGO-CONSULTORA.pdf.</w:t>
      </w:r>
    </w:p>
    <w:sectPr w:rsidR="00FC693F" w:rsidRPr="0006063C" w:rsidSect="00034616">
      <w:headerReference w:type="default" r:id="rId9"/>
      <w:footerReference w:type="default" r:id="rId10"/>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Documento de trabajo, no sustituye a auditoría jurídica ni contable.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464"/>
        <w:sz w:val="16"/>
      </w:rPr>
      <w:t>Vanguardia.Tech | Revisión documental 6 PAI Diputación de Granada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rPr>
      <w:rFonts w:ascii="Arial" w:hAnsi="Arial"/>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